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幼圆" w:eastAsia="幼圆" w:hAnsi="simsun" w:cs="宋体" w:hint="eastAsia"/>
          <w:b/>
          <w:color w:val="444444"/>
          <w:kern w:val="0"/>
          <w:sz w:val="32"/>
          <w:szCs w:val="32"/>
        </w:rPr>
        <w:t>大纲说明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一、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</w:t>
      </w: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课程的性质与任务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纳税基础与实务是“中央广播电视大学人才培养模式和开放教学试点”会计学专科的一门专业选修课。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通过纳税基础与实务课程的教学，使学生较全面地了解税收的基础理论和基本知识；熟悉我国现行主要税种的税收制度；让学生在了解专业知识的同时，能与企业及个人相</w:t>
      </w:r>
      <w:proofErr w:type="gramStart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关涉税</w:t>
      </w:r>
      <w:proofErr w:type="gramEnd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工作联系到一起，增强感性认识，调动学生学习专业知识的积极性，提高学生理解、运用和遵守执行国家税法的水平以及分析、解决税收实际问题的能力。为学生将来从事的财经工作打下坚实的基础。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二、与相关课程的关系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150" w:firstLine="48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税收理论与实务课程在“西方经济学”、“基础会计”之后开设，应与“中级财务会计”、同时或之前开设。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三、课程的教学基本要求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在税收理论与实务课程的教学中应系统讲授税收的基本概念、基本理论以及我国现行主要税种的税收制度，由浅入深，由表及里，从实践出发，培育学生认识问题和分析解决问题的能力。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lastRenderedPageBreak/>
        <w:t>在教学中应重点讲授税收制度中的征收管理、计税方法等实际税收业务问题，注重应用技术和实践能力的培养，运用实际案例阐明教学内容，使学生掌握税收制度的精神和实质，能用所学知识进行计算税款、申报缴纳等税收实务操作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四、教学方法和教学形式建议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提倡充分利用多种媒体教材，以学生自主学习为主，教师做重点、难点分析答疑为辅的学习模式。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6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（一）教材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6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1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．文字教材：文字教材是学生学习的主要用书，是教学的主要媒体和课程考核的基本依据，本课程的文字教材是郝巧亮、王玉娟主编的《纳税实务》，东北财经大学出版社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2009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年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1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月第一版。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3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．网上教学辅导：省电大将在网上进行有针对性的教学辅导；布置日常作业和进行作业指导和讨论等。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4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．电话答疑：省电大设专门电话进行电话答疑。电话为：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028-87763167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5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．电子邮件：电子邮件主要解决师生不能直面而又必须解决的问题。各地电大学员在学习过程中如果遇到问题，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lastRenderedPageBreak/>
        <w:t>请首先与当地电大的辅导教师联系，如果辅导教师解决不了的问题再与省电大联系。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3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（二）教学环节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1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．面授辅导和自学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面授辅导是电大的重要教学方式之一，由于电大是过程开放教育，面授辅导是学生接触老师，获得疑难解答的重要途径。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面授辅导课要紧密配合教材，依据教学大纲进行辅导讲解。要注意运用启发式，采用讲解，讨论，答疑等方式，培养学生分析问题和解决问题的能力。辅导教师要钻研教学大纲、教材、收看电视课，认真备课。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自学是电大学生获得知识的另</w:t>
      </w:r>
      <w:proofErr w:type="gramStart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种重要</w:t>
      </w:r>
      <w:proofErr w:type="gramEnd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方式，自学能力的培养也是大学教育的之一，无论电视课，还是辅导深，都要注意对学生自学能力的培养，学生自己更应重视自学和自学能力的培养。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2.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网上辅导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3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．作业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独立完成作业是学好本课程的重要手段。作业题目应根据教学基本要求选择，学生要通过习题加深对知识点的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lastRenderedPageBreak/>
        <w:t>理解和掌握。对作业要评分并作为学生期末成绩的一部分。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 4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．考试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考试是对教与学的全面验收，是不可缺少的教学环节。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   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考试题目要全面，符合大纲要求，同时要做到体现重点，难度适中，题量适度，难度及题量应按教学要求的三个不同层次安排，对未作具体教学要求的内容不</w:t>
      </w:r>
      <w:proofErr w:type="gramStart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作考试</w:t>
      </w:r>
      <w:proofErr w:type="gramEnd"/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要求。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35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宋体" w:eastAsia="宋体" w:hAnsi="Courier New" w:cs="宋体" w:hint="eastAsia"/>
          <w:color w:val="444444"/>
          <w:kern w:val="0"/>
          <w:sz w:val="32"/>
          <w:szCs w:val="32"/>
        </w:rPr>
        <w:t>学生本课程的成绩：期末考试成绩占80%，平时作业成绩占20%。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b/>
          <w:color w:val="444444"/>
          <w:kern w:val="0"/>
          <w:sz w:val="32"/>
          <w:szCs w:val="32"/>
        </w:rPr>
        <w:t>五、课程教学要求的层次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税收理论与实务是一门实践性较强的业务课程，对理论联系实际要求较高，需要掌握的重点包括基本知识和应用能力两方面，具体内容可划分为识记、理解、应用三个层次，其中应用又可以细分为简单应用和综合应用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识记：指学习后应当记住的内容。如概念、意义、作用，各种税对税制要素的规定，征收管理的规定等。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lastRenderedPageBreak/>
        <w:t>理解：指在识记的基础上全面理解和把握的内容。如对税收基本理论的分析与理解，比较各种税的征收制度的区别与联系等。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简单应用：指能够运用所学知识分析和解决一些简单的纳税问题。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ind w:firstLine="420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综合应用：指能够运用所学知识分析和解决较复杂的纳税问题。如某个企业某一期间的各种应纳税款的计算等。</w:t>
      </w:r>
    </w:p>
    <w:p w:rsidR="00925FC7" w:rsidRPr="00925FC7" w:rsidRDefault="00925FC7" w:rsidP="00925FC7">
      <w:pPr>
        <w:keepNext/>
        <w:keepLines/>
        <w:snapToGrid w:val="0"/>
        <w:spacing w:before="260" w:after="260" w:line="412" w:lineRule="auto"/>
        <w:jc w:val="center"/>
        <w:outlineLvl w:val="1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Arial" w:eastAsia="黑体" w:hAnsi="Arial" w:cs="宋体" w:hint="eastAsia"/>
          <w:b/>
          <w:bCs/>
          <w:color w:val="444444"/>
          <w:kern w:val="0"/>
          <w:sz w:val="32"/>
          <w:szCs w:val="32"/>
        </w:rPr>
        <w:t>第二部分</w:t>
      </w:r>
      <w:r w:rsidRPr="00925FC7">
        <w:rPr>
          <w:rFonts w:ascii="Arial" w:eastAsia="黑体" w:hAnsi="Arial" w:cs="Times New Roman"/>
          <w:b/>
          <w:bCs/>
          <w:color w:val="444444"/>
          <w:kern w:val="0"/>
          <w:sz w:val="32"/>
          <w:szCs w:val="32"/>
        </w:rPr>
        <w:t xml:space="preserve"> 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 xml:space="preserve"> </w:t>
      </w:r>
      <w:r w:rsidRPr="00925FC7">
        <w:rPr>
          <w:rFonts w:ascii="Arial" w:eastAsia="黑体" w:hAnsi="Arial" w:cs="宋体" w:hint="eastAsia"/>
          <w:b/>
          <w:bCs/>
          <w:color w:val="444444"/>
          <w:kern w:val="0"/>
          <w:sz w:val="32"/>
          <w:szCs w:val="32"/>
        </w:rPr>
        <w:t>学时分配</w:t>
      </w:r>
    </w:p>
    <w:p w:rsidR="00925FC7" w:rsidRPr="00925FC7" w:rsidRDefault="00925FC7" w:rsidP="00925FC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44444"/>
          <w:kern w:val="0"/>
          <w:sz w:val="32"/>
          <w:szCs w:val="32"/>
        </w:rPr>
      </w:pP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税收理论与实务课程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72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课内学时，</w:t>
      </w:r>
      <w:r w:rsidRPr="00925FC7">
        <w:rPr>
          <w:rFonts w:ascii="simsun" w:eastAsia="宋体" w:hAnsi="simsun" w:cs="宋体"/>
          <w:color w:val="444444"/>
          <w:kern w:val="0"/>
          <w:sz w:val="32"/>
          <w:szCs w:val="32"/>
        </w:rPr>
        <w:t>4</w:t>
      </w:r>
      <w:r w:rsidRPr="00925FC7">
        <w:rPr>
          <w:rFonts w:ascii="Times New Roman" w:eastAsia="宋体" w:hAnsi="Times New Roman" w:cs="宋体" w:hint="eastAsia"/>
          <w:color w:val="444444"/>
          <w:kern w:val="0"/>
          <w:sz w:val="32"/>
          <w:szCs w:val="32"/>
        </w:rPr>
        <w:t>学分。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472"/>
        <w:gridCol w:w="1620"/>
      </w:tblGrid>
      <w:tr w:rsidR="00925FC7" w:rsidRPr="00925FC7" w:rsidTr="00925FC7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b/>
                <w:iCs/>
                <w:color w:val="444444"/>
                <w:kern w:val="0"/>
                <w:sz w:val="32"/>
                <w:szCs w:val="32"/>
              </w:rPr>
              <w:t>序</w:t>
            </w:r>
            <w:r w:rsidRPr="00925FC7">
              <w:rPr>
                <w:rFonts w:ascii="宋体" w:eastAsia="宋体" w:hAnsi="宋体" w:cs="宋体"/>
                <w:b/>
                <w:iCs/>
                <w:color w:val="444444"/>
                <w:kern w:val="0"/>
                <w:sz w:val="32"/>
                <w:szCs w:val="32"/>
              </w:rPr>
              <w:t xml:space="preserve"> </w:t>
            </w:r>
            <w:r w:rsidRPr="00925FC7"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  <w:t xml:space="preserve"> </w:t>
            </w:r>
            <w:r w:rsidRPr="00925FC7">
              <w:rPr>
                <w:rFonts w:ascii="Times New Roman" w:eastAsia="宋体" w:hAnsi="Times New Roman" w:cs="宋体" w:hint="eastAsia"/>
                <w:b/>
                <w:iCs/>
                <w:color w:val="444444"/>
                <w:kern w:val="0"/>
                <w:sz w:val="32"/>
                <w:szCs w:val="32"/>
              </w:rPr>
              <w:t>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b/>
                <w:iCs/>
                <w:color w:val="444444"/>
                <w:kern w:val="0"/>
                <w:sz w:val="32"/>
                <w:szCs w:val="32"/>
              </w:rPr>
              <w:t>教学内容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b/>
                <w:iCs/>
                <w:color w:val="444444"/>
                <w:kern w:val="0"/>
                <w:sz w:val="32"/>
                <w:szCs w:val="32"/>
              </w:rPr>
              <w:t>课内学时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第一章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纳税人纳税实务操作的基本工作内容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6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第二章第一节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企业办理税务登记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4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第二章第二环节</w:t>
            </w:r>
            <w:proofErr w:type="gramStart"/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企业购买环节纳税实务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10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lastRenderedPageBreak/>
              <w:t>第二章第二环节二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企业生产经营环节纳税实务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10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第二章第二环节三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企业销售环节纳税实务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15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第二章第二环节四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企业利润结算环节纳税实务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8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第三章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56" w:after="156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个人纳税实务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12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总复习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7</w:t>
            </w:r>
          </w:p>
        </w:tc>
      </w:tr>
      <w:tr w:rsidR="00925FC7" w:rsidRPr="00925FC7" w:rsidTr="00925FC7">
        <w:trPr>
          <w:cantSplit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合</w:t>
            </w: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 xml:space="preserve">   </w:t>
            </w:r>
            <w:r w:rsidRPr="00925FC7"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  <w:t xml:space="preserve"> </w:t>
            </w:r>
            <w:r w:rsidRPr="00925FC7">
              <w:rPr>
                <w:rFonts w:ascii="Times New Roman" w:eastAsia="宋体" w:hAnsi="Times New Roman" w:cs="宋体" w:hint="eastAsia"/>
                <w:iCs/>
                <w:color w:val="444444"/>
                <w:kern w:val="0"/>
                <w:sz w:val="32"/>
                <w:szCs w:val="32"/>
              </w:rPr>
              <w:t>计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C7" w:rsidRPr="00925FC7" w:rsidRDefault="00925FC7" w:rsidP="00925FC7">
            <w:pPr>
              <w:widowControl/>
              <w:spacing w:before="120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32"/>
                <w:szCs w:val="32"/>
              </w:rPr>
            </w:pPr>
            <w:r w:rsidRPr="00925FC7">
              <w:rPr>
                <w:rFonts w:ascii="宋体" w:eastAsia="宋体" w:hAnsi="宋体" w:cs="宋体"/>
                <w:iCs/>
                <w:color w:val="444444"/>
                <w:kern w:val="0"/>
                <w:sz w:val="32"/>
                <w:szCs w:val="32"/>
              </w:rPr>
              <w:t>72</w:t>
            </w:r>
          </w:p>
        </w:tc>
      </w:tr>
    </w:tbl>
    <w:p w:rsidR="000F6599" w:rsidRPr="00925FC7" w:rsidRDefault="000F6599" w:rsidP="00925FC7">
      <w:pPr>
        <w:keepNext/>
        <w:keepLines/>
        <w:snapToGrid w:val="0"/>
        <w:spacing w:before="260" w:after="260" w:line="412" w:lineRule="auto"/>
        <w:jc w:val="center"/>
        <w:outlineLvl w:val="1"/>
        <w:rPr>
          <w:sz w:val="32"/>
          <w:szCs w:val="32"/>
        </w:rPr>
      </w:pPr>
      <w:bookmarkStart w:id="0" w:name="_GoBack"/>
      <w:bookmarkEnd w:id="0"/>
    </w:p>
    <w:sectPr w:rsidR="000F6599" w:rsidRPr="0092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B9"/>
    <w:rsid w:val="000F6599"/>
    <w:rsid w:val="006D05B9"/>
    <w:rsid w:val="009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FE44F-24FE-4C8C-AF4B-A615F5C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14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2017-03-23T01:47:00Z</dcterms:created>
  <dcterms:modified xsi:type="dcterms:W3CDTF">2017-03-23T01:48:00Z</dcterms:modified>
</cp:coreProperties>
</file>