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bookmarkStart w:id="0" w:name="_GoBack"/>
      <w:bookmarkEnd w:id="0"/>
      <w:r>
        <w:rPr>
          <w:rFonts w:hint="eastAsia" w:ascii="宋体" w:hAnsi="宋体" w:eastAsia="宋体" w:cs="宋体"/>
          <w:b/>
          <w:bCs/>
          <w:sz w:val="21"/>
          <w:szCs w:val="21"/>
        </w:rPr>
        <w:t>一、单项选择题：本大题共16小题，每小题1分，共16分。在每小题列出的备选项中只有一项是符合题目要求的，请将其选出。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1.在阅读财务报告时，企业债权人不太关注的信息是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A.企业的福利待遇如何 B.企业的获利情况怎样</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C.企业的财力是否充裕 D.是否应该贷给企业更多的资金</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2.企业核算固定资产采用折旧的方法，把固定资产的历史成本分摊到各个会计期间的费用或者相关产品的成本中，这种方法运用的会计基础假设是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A.会计主体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B.会计基础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C.会计分期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D.货币计量</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3.在下列各项中，不属于我国企业财务会计信息质量要求的是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A.可理解性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B.权责发生制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C.相关性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D.及时性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4.企业赊销一批商品，规定的付款条件为：1/10、N/30，如果客户在现金折扣期内付款, 那么该折扣记入</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A.管理费用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B.财务费用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C.制造费用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D.制造成本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5.对于银行已经入账而企业尚未入账的未达账项，企业应当</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A.根据银行对账单记录的金额入账</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B.根据银行对账单编制自制凭证入账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C.待结算凭证到达后入账</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D.在编制银行存款余额调节表的同时入账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6.企业采用支付手续费方式委托代销商品，委托方确认商品销售收入的时间是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A.签订代销协议时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B.发出商品时</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C.收到代销清单时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D.收到代销款时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7.如果企业的包装物数量不多，可以将包装物并入下列哪个科目进行核算？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A.周转材料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B.低值易耗品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C.材料釆购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D.原材料</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8.在每次收货以后，立即根据库存存货的数量和总成本，计算出新的平均单位成本，这种存货成本的计价方法是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A.零售计价法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B.月末一次加权平均法</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C.移动加权平均法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D.先进先出法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9.在备抵法下，已核销的应收账款坏账又收回时，贷记“坏账准备”科目，借记的科目应是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A.其他应收款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B.应收票据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C.资产减值损失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D.应收账款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10.下列属于生产经营用固定资产的是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A.职工宿舍用房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B.制造车间用房</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C.工会俱乐部用房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D.托儿所用房</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11.下列不属于投资性房地产的是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A.自用的土地使用权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B.已出租的土地使用权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C.已出租的建筑物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D.持有并准条增值后转让的土地使用权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12.下列关于无形资产的特征描述中，错误的是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A.无形资产属于非货币性长期资产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B.无形资产可能具有实物形态</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C.无形资产是可辨认的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D.无形资产的可控制性</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13.下列项目中属于留存收益的是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A.从净利润中提取的法定盈余公积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B.收到投资者投入的资本</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C.已宜告而未发放的应付股利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D.资产评估增值</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14.公司债券的票面上一般载明的内容中,不包含</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A.债券面值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B.债券收益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C.债券利率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D.发行日期</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15.企业进行存货清查盘点中盘亏的存货, 经査实确认应当由过失人赔偿的金额，在报经批准后应该作为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A.其他应收款处理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B.主营业务成本处理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C.营业外支出处理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D.管理费用处理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16.下列各项税费，不在“应交税费”科目核算的是</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A.印花税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B.消费税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C.增值税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D.教育费附加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二、多项选择题：本大题共7小题，每小题2分，共14分。在每小题列出的备选项中至少有两项是符合题目要求的，请将其选出，错选、多选或少选均无分。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17.下列各项，通过“其他货币资金”科目核算的有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A.外埠存款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B.备用金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C.银行本票存款</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D.银行汇票存款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E.信用卡存款</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18.在下列各项中，属于现金使用范围的有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A.支付职工困难补助费8000元</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B.出差人员必须随身携带的差旅费20000元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C.购买价值10000元的办公用品</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D.支付职工工资100000元</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E.向个人收购农副产品50000元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19.在下列各种会计处理方法中，体现谨慎性原则的有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A.采用成本法对长期股权投资核算</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B.期末存货采用成本与可变现净值孰低法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C.对固定资产计提减值准备</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D.先进先出法</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E.加速折旧法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20.在下列各项中，属于企业投资性房地产的有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A.办公用房产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B.已出租的土地使用权</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C.生产用厂房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D.已出租的建筑物</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E.持有并准备增值后转让的土地使用权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21.长期股权投资采用权益法核算时，“长期股权投资”科目下应设置的明细科目有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A.投资成本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B.损益调整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C.公允价值变动</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D.其他综合收益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E.其他权益变动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22.企业的预付账款可以通过哪些科目进行核算？</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A.“预付账款”科目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B.“应付账款”科目</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C.“其他应付款”科目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D.“其他应收款”科目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E.“应收账款”科目</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23.在权益法下，被投资企业的下列业务可能引起投资企业“长期股权投资”账户增加的有</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A.支付现金股利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B.发放股票股利</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C.用资本公积转增资本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 xml:space="preserve">D.其他综合收益变动 </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E.实现净利润</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三、简答题：本大题共4小题，每小题5分，共20分。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24.什么是会计假设？请简要解释每一条会计假设。</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请简要说明预计负债的确认必须同时满足的条件。</w:t>
      </w:r>
    </w:p>
    <w:p>
      <w:pPr>
        <w:keepNext w:val="0"/>
        <w:keepLines w:val="0"/>
        <w:pageBreakBefore w:val="0"/>
        <w:widowControl w:val="0"/>
        <w:numPr>
          <w:ilvl w:val="0"/>
          <w:numId w:val="1"/>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简述销售收入确认的条件。</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27.加速折旧法与年限平均法相比，有何优点？</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四、计算分析题：本大题共5小题，每小题6分，共30分。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公司赊销一批商品，货款为100万元，适用的增值税税率为17%，代垫运杂费3万元（假设作为折扣基数，但不作为计税基数），规定的付款条件为：“2/10、N/30”。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要求：（1）假若客户于10天内付款，请采用总价法核算，编制销售业务发生时和收到客户付款时的会计分录。</w:t>
      </w:r>
    </w:p>
    <w:p>
      <w:pPr>
        <w:keepNext w:val="0"/>
        <w:keepLines w:val="0"/>
        <w:pageBreakBefore w:val="0"/>
        <w:widowControl w:val="0"/>
        <w:numPr>
          <w:ilvl w:val="0"/>
          <w:numId w:val="2"/>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假若客户付款期超过10天，请釆用净价法核算，编制销售业务发生时 和收到客户付款时的会计分录。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公司自2015年起采用成本与可变现净值孰低法对期末某类存货进行计价，并运用分类比较法计提存货跌价准备。假设该公司2015年至2017年年末该类存货的账面成本均为200万元。其他相关资料如下：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(1）2015年年末该类存货的预计可变现净值为180万元；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rPr>
        <w:t>(2）2016年年末该类存货的预计可变现净值为170万元</w:t>
      </w:r>
      <w:r>
        <w:rPr>
          <w:rFonts w:hint="eastAsia" w:ascii="宋体" w:hAnsi="宋体" w:eastAsia="宋体" w:cs="宋体"/>
          <w:b w:val="0"/>
          <w:bCs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 xml:space="preserve">(3）2017年年末该类存货的可变现净值有所恢复，预计可变现净值为194万元。 </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要求：根据以上资料编制存货减值相关的会计分录（请列出必要的计算过程）。</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C公司在2017年10月初以市价购入一幢办公楼用于出租，当时的购入价格是60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000元，已经支付。年底公司对资产进行评估，发现该办公楼的可收回金额是59</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000元。假设该办公楼的使用年限为50年，残值率为5%，釆用平均年限法计提折旧。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请编制C公司10月初到年底涉及该业务的会计分录。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31.南岳公司在2015年和2017年对渤海公司发生如下交易：2015年11月1日，南岳公司投资250万元购买渤海公司发行的债券，发行期3年，债券票面利率6%，到期一次性还本付息。该债券在2015年12月31日的公允价值为260万元，在2016年12月31日的公允价值为245万元。2017年1月1日渤海公司以260万元的价格购回。</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要求：根据以上资料，编制渤海公司有关该债券出售、计提利息及购回的会计分录。</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公司因生产经营的临时性需要，于2017年12月16日向其开户银行借入款项80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000元，年利率为6%，借款期限2个月，按月预提利息费用，到期一次还本付息。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要求：编制2017年借入时和年末预提利息时，以及2018年1月末和借款到期还本付息时的会计分录。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bCs/>
          <w:sz w:val="21"/>
          <w:szCs w:val="21"/>
        </w:rPr>
      </w:pPr>
      <w:r>
        <w:rPr>
          <w:rFonts w:hint="eastAsia" w:ascii="宋体" w:hAnsi="宋体" w:eastAsia="宋体" w:cs="宋体"/>
          <w:b/>
          <w:bCs/>
          <w:sz w:val="21"/>
          <w:szCs w:val="21"/>
        </w:rPr>
        <w:t>五、综合题：本大题共2小题，每小题10分，共20分。</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33.慧明公司系增值税一般纳税人，增值税率为17%，库存材料采用实际成本核算，该公司2018年年度内发生如下有关经济业务：</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(1)销售产品一批给A公司，增值税专用发票上注明的价款为200万元，增值税为34万，销售成本为120万元，对方开立一张3个月的商业汇票。</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(2)取得罚款收入6万元，存入银行。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(3)结转固定资产清理净损失68万元。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(4)计提本期应负担的城市维护建设税3万元。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(5)公司拥有A企业的10%股权，A企业本年度宣告现金股利60万元（假设分回的利润均是投资后产生的</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(6)公司将一自用建筑物转为投资性房地产，并准备采用公允价值计量模式。该建筑物的原值为440万元，累计计提折旧余额为40万元，已计提减值准备10万元，在转换日建筑物公允价值为500万元。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要求：根据上述资料，为慧明公司编制2018年有关经济业务的会计分录。（答案金额统一用“万元”表示）</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34.光华公司为增值税一般纳税人，增值税率为17%，所得税率为25%。该公司2017年发生的经济业务如下：</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(1)购入原材料一批，用银行存款支付货款200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000元、增值税进项税额34 000元，款项已付，材料尚未收到；</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(2)公司购买交易性金融资产支付48</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000元，另发生交易费用2000元，同期处置该交易性金融资产（全部为股票投资），收到银行存款58</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(3)公司釆用商业承兑汇票结算方式销售产品一批，价款300000元，增值税销项税额为54000元，收到354000元的不带息商业承兑汇票一张；</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(4)销售产品价款1</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400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000元，应收的增值税销项税额238</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000元，货款及税款已收到并已存入开户银行；</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(5)生产车间一生产设备因事故报废，原价300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000元，已计提折旧100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000元，发生清理费用2000元，取得残值收入4500元，均通过银行存款收支。该项固定资产已清理完毕；</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(6)生产车间领用原材料，成本150</w:t>
      </w:r>
      <w:r>
        <w:rPr>
          <w:rFonts w:hint="eastAsia" w:ascii="宋体" w:hAnsi="宋体" w:eastAsia="宋体" w:cs="宋体"/>
          <w:b w:val="0"/>
          <w:bCs w:val="0"/>
          <w:sz w:val="21"/>
          <w:szCs w:val="21"/>
          <w:lang w:val="en-US" w:eastAsia="zh-CN"/>
        </w:rPr>
        <w:t xml:space="preserve"> </w:t>
      </w:r>
      <w:r>
        <w:rPr>
          <w:rFonts w:hint="eastAsia" w:ascii="宋体" w:hAnsi="宋体" w:eastAsia="宋体" w:cs="宋体"/>
          <w:b w:val="0"/>
          <w:bCs w:val="0"/>
          <w:sz w:val="21"/>
          <w:szCs w:val="21"/>
        </w:rPr>
        <w:t>000元；管理部门领用低值易耗品，成本5000元，采用一次摊销法摊销；</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(7)提取法定盈余公积金7500元，任意盈余公积金3750元，分配普通股现金红利16000元。</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rPr>
      </w:pPr>
      <w:r>
        <w:rPr>
          <w:rFonts w:hint="eastAsia" w:ascii="宋体" w:hAnsi="宋体" w:eastAsia="宋体" w:cs="宋体"/>
          <w:b w:val="0"/>
          <w:bCs w:val="0"/>
          <w:sz w:val="21"/>
          <w:szCs w:val="21"/>
        </w:rPr>
        <w:t>要求：编制光华公司以上业务的会计分录。</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32"/>
          <w:szCs w:val="32"/>
          <w:lang w:eastAsia="zh-CN"/>
        </w:rPr>
      </w:pPr>
      <w:r>
        <w:rPr>
          <w:rFonts w:hint="eastAsia" w:ascii="宋体" w:hAnsi="宋体" w:eastAsia="宋体" w:cs="宋体"/>
          <w:b/>
          <w:bCs/>
          <w:sz w:val="32"/>
          <w:szCs w:val="32"/>
        </w:rPr>
        <w:t>2018年10月高等教育自学考试中级财务会计试</w:t>
      </w:r>
      <w:r>
        <w:rPr>
          <w:rFonts w:hint="eastAsia" w:ascii="宋体" w:hAnsi="宋体" w:eastAsia="宋体" w:cs="宋体"/>
          <w:b/>
          <w:bCs/>
          <w:sz w:val="32"/>
          <w:szCs w:val="32"/>
          <w:lang w:eastAsia="zh-CN"/>
        </w:rPr>
        <w:t>题答案</w:t>
      </w:r>
    </w:p>
    <w:p>
      <w:pPr>
        <w:keepNext w:val="0"/>
        <w:keepLines w:val="0"/>
        <w:pageBreakBefore w:val="0"/>
        <w:widowControl w:val="0"/>
        <w:kinsoku/>
        <w:wordWrap/>
        <w:overflowPunct/>
        <w:topLinePunct w:val="0"/>
        <w:autoSpaceDE/>
        <w:autoSpaceDN/>
        <w:bidi w:val="0"/>
        <w:adjustRightInd/>
        <w:snapToGrid/>
        <w:spacing w:line="400" w:lineRule="exact"/>
        <w:jc w:val="center"/>
        <w:textAlignment w:val="auto"/>
        <w:rPr>
          <w:rFonts w:hint="eastAsia" w:ascii="宋体" w:hAnsi="宋体" w:eastAsia="宋体" w:cs="宋体"/>
          <w:b/>
          <w:bCs/>
          <w:sz w:val="28"/>
          <w:szCs w:val="28"/>
        </w:rPr>
      </w:pPr>
      <w:r>
        <w:rPr>
          <w:rFonts w:hint="eastAsia" w:ascii="宋体" w:hAnsi="宋体" w:eastAsia="宋体" w:cs="宋体"/>
          <w:b/>
          <w:bCs/>
          <w:sz w:val="28"/>
          <w:szCs w:val="28"/>
        </w:rPr>
        <w:t>（课程代码00155)</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vertAlign w:val="baseline"/>
          <w:lang w:eastAsia="zh-CN"/>
        </w:rPr>
      </w:pPr>
      <w:r>
        <w:rPr>
          <w:rFonts w:hint="eastAsia" w:ascii="宋体" w:hAnsi="宋体" w:eastAsia="宋体" w:cs="宋体"/>
          <w:b w:val="0"/>
          <w:bCs w:val="0"/>
          <w:sz w:val="21"/>
          <w:szCs w:val="21"/>
          <w:lang w:eastAsia="zh-CN"/>
        </w:rPr>
        <w:t>一、单项选择题</w:t>
      </w:r>
    </w:p>
    <w:tbl>
      <w:tblPr>
        <w:tblStyle w:val="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231"/>
        <w:gridCol w:w="1231"/>
        <w:gridCol w:w="1232"/>
        <w:gridCol w:w="1232"/>
        <w:gridCol w:w="1232"/>
        <w:gridCol w:w="1232"/>
        <w:gridCol w:w="1232"/>
        <w:gridCol w:w="1232"/>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231"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1"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c>
          <w:tcPr>
            <w:tcW w:w="1231"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1"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232" w:type="dxa"/>
          </w:tcPr>
          <w:p>
            <w:pPr>
              <w:keepNext w:val="0"/>
              <w:keepLines w:val="0"/>
              <w:pageBreakBefore w:val="0"/>
              <w:widowControl w:val="0"/>
              <w:kinsoku/>
              <w:wordWrap/>
              <w:overflowPunct/>
              <w:topLinePunct w:val="0"/>
              <w:autoSpaceDE/>
              <w:autoSpaceDN/>
              <w:bidi w:val="0"/>
              <w:adjustRightInd/>
              <w:snapToGrid/>
              <w:spacing w:after="200" w:line="400" w:lineRule="exact"/>
              <w:jc w:val="left"/>
              <w:textAlignment w:val="auto"/>
              <w:rPr>
                <w:rStyle w:val="6"/>
                <w:rFonts w:hint="eastAsia" w:ascii="宋体" w:hAnsi="宋体" w:eastAsia="宋体" w:cs="宋体"/>
                <w:b w:val="0"/>
                <w:bCs w:val="0"/>
                <w:kern w:val="2"/>
                <w:sz w:val="21"/>
                <w:szCs w:val="21"/>
                <w:vertAlign w:val="baseline"/>
                <w:lang w:val="en-US" w:eastAsia="zh-CN" w:bidi="ar-SA"/>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多项选择题</w:t>
      </w:r>
    </w:p>
    <w:tbl>
      <w:tblPr>
        <w:tblStyle w:val="5"/>
        <w:tblW w:w="985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407"/>
        <w:gridCol w:w="1407"/>
        <w:gridCol w:w="1408"/>
        <w:gridCol w:w="1408"/>
        <w:gridCol w:w="1408"/>
        <w:gridCol w:w="1408"/>
        <w:gridCol w:w="1408"/>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1407"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407"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c>
          <w:tcPr>
            <w:tcW w:w="1408" w:type="dxa"/>
          </w:tcPr>
          <w:p>
            <w:pPr>
              <w:keepNext w:val="0"/>
              <w:keepLines w:val="0"/>
              <w:pageBreakBefore w:val="0"/>
              <w:widowControl w:val="0"/>
              <w:numPr>
                <w:ilvl w:val="0"/>
                <w:numId w:val="0"/>
              </w:numPr>
              <w:kinsoku/>
              <w:wordWrap/>
              <w:overflowPunct/>
              <w:topLinePunct w:val="0"/>
              <w:autoSpaceDE/>
              <w:autoSpaceDN/>
              <w:bidi w:val="0"/>
              <w:adjustRightInd/>
              <w:snapToGrid/>
              <w:spacing w:after="200" w:line="400" w:lineRule="exact"/>
              <w:ind w:left="0" w:firstLine="0"/>
              <w:jc w:val="left"/>
              <w:textAlignment w:val="auto"/>
              <w:rPr>
                <w:rStyle w:val="6"/>
                <w:rFonts w:hint="eastAsia" w:ascii="宋体" w:hAnsi="宋体" w:eastAsia="宋体" w:cs="宋体"/>
                <w:b w:val="0"/>
                <w:bCs w:val="0"/>
                <w:kern w:val="2"/>
                <w:sz w:val="21"/>
                <w:szCs w:val="21"/>
                <w:vertAlign w:val="baseline"/>
                <w:lang w:val="en-US" w:eastAsia="zh-CN" w:bidi="ar-SA"/>
              </w:rPr>
            </w:pPr>
          </w:p>
        </w:tc>
      </w:tr>
    </w:tbl>
    <w:p>
      <w:pPr>
        <w:keepNext w:val="0"/>
        <w:keepLines w:val="0"/>
        <w:pageBreakBefore w:val="0"/>
        <w:widowControl w:val="0"/>
        <w:numPr>
          <w:ilvl w:val="0"/>
          <w:numId w:val="4"/>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简答题</w:t>
      </w:r>
    </w:p>
    <w:p>
      <w:pPr>
        <w:keepNext w:val="0"/>
        <w:keepLines w:val="0"/>
        <w:pageBreakBefore w:val="0"/>
        <w:widowControl w:val="0"/>
        <w:numPr>
          <w:ilvl w:val="0"/>
          <w:numId w:val="5"/>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会计假设是企业会计确认，计量和报告的前提，是对会计核算所处时间，空间环境等所做的合理设定。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会计主体，是指会计信息所反映的特定单位或组织，它规范了会计核算的空间范围。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持续经营是指在可以预见的未来，企业将会按照当前的规模和状态继续经营下去，而且不会停业，也不会大规模削减业务。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会计分期是指将一个企业持续经营的生产活动划分为一个个持续的长短相同的期间。</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货币计量是指会计主体在会计核算过程中采用货币作为主要计量单位，计量、记录和报告会计主体的生产经营活动。</w:t>
      </w:r>
    </w:p>
    <w:p>
      <w:pPr>
        <w:keepNext w:val="0"/>
        <w:keepLines w:val="0"/>
        <w:pageBreakBefore w:val="0"/>
        <w:widowControl w:val="0"/>
        <w:numPr>
          <w:ilvl w:val="0"/>
          <w:numId w:val="5"/>
        </w:numPr>
        <w:tabs>
          <w:tab w:val="clear" w:pos="312"/>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预计负债的确认必须同时满足以下三个条件：（或有事项相关的义务同时符合以下三个条件的，企业应将其确认为负债）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（1）该义务是企业承担的现时义务；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（2）该义务的履行很肯能1导致经济利益流出企业；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（3）该义务的金额能够可靠地计量。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26.销售商品收入同时满足下列条件，才能予以确认：</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（1）企业已将商品所有权上主要风险和报酬转移给购货方；</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（2）企业既没有保留通常与所有权相联系的继续管理权，也没有对已传出的商品实施控制；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（3）相关的经济利益很可能流入企业；</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（4）相关的收入能够可靠地计量。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hanging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27.（1）最初几年的折旧费用较多，相应减少了这一期间的收益，从而减轻了所得税的负担。虽然从固定资金全部使用期来看折旧总额不变，缴纳的所得税总额也未减少，但由于交纳时间上的推迟，是相当于政府为企业提供了一笔无息贷款，是企业从中得到了一定对的额财务利益。</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hanging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（2）固定资产使用早期维修费用较少，使用后期维修费用较多，在维修费用少的早期多提折旧，在维修费用多的后期少提折旧，可使固定资产的使用成本在前后期大体保持平衡。</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20" w:leftChars="0" w:hanging="420" w:hanging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（3）一些更新换代较快的资产，其无形损耗也在增加。加速折旧法充分考虑了固定资产无形损耗的因素，从而减少了旧技术淘汰时发生的损失。</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eastAsia="zh-CN"/>
        </w:rPr>
      </w:pPr>
      <w:r>
        <w:rPr>
          <w:rFonts w:hint="eastAsia" w:ascii="宋体" w:hAnsi="宋体" w:eastAsia="宋体" w:cs="宋体"/>
          <w:b w:val="0"/>
          <w:bCs w:val="0"/>
          <w:sz w:val="21"/>
          <w:szCs w:val="21"/>
          <w:lang w:eastAsia="zh-CN"/>
        </w:rPr>
        <w:t>四、计算分析题</w:t>
      </w:r>
    </w:p>
    <w:p>
      <w:pPr>
        <w:keepNext w:val="0"/>
        <w:keepLines w:val="0"/>
        <w:pageBreakBefore w:val="0"/>
        <w:widowControl w:val="0"/>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28.（1）采用总价法核算</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①销售业务发生时：</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借：应收账款                                 1 200 000</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贷：主营业务收入                                  1 000 000</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贷：应交税费——应交增值税（销项税额）              170 000</w:t>
      </w:r>
    </w:p>
    <w:p>
      <w:pPr>
        <w:keepNext w:val="0"/>
        <w:keepLines w:val="0"/>
        <w:pageBreakBefore w:val="0"/>
        <w:widowControl w:val="0"/>
        <w:kinsoku/>
        <w:wordWrap/>
        <w:overflowPunct/>
        <w:topLinePunct w:val="0"/>
        <w:autoSpaceDE/>
        <w:autoSpaceDN/>
        <w:bidi w:val="0"/>
        <w:adjustRightInd/>
        <w:snapToGrid/>
        <w:spacing w:line="400" w:lineRule="exact"/>
        <w:ind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30 000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②客户于10天内付款时：</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借：银行存款                                  1 176 000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借：财务费用                                     24 000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贷：应收账款                                       1 200 000</w:t>
      </w:r>
    </w:p>
    <w:p>
      <w:pPr>
        <w:keepNext w:val="0"/>
        <w:keepLines w:val="0"/>
        <w:pageBreakBefore w:val="0"/>
        <w:widowControl w:val="0"/>
        <w:numPr>
          <w:ilvl w:val="0"/>
          <w:numId w:val="6"/>
        </w:numPr>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采用净价法核算</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①销售业务发生时：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借：应收账款                                 1 176 000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贷：主营业务收入                                  976 000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贷：应交税费——应交增值税（销项税额）            170 000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30 000</w:t>
      </w:r>
    </w:p>
    <w:p>
      <w:pPr>
        <w:keepNext w:val="0"/>
        <w:keepLines w:val="0"/>
        <w:pageBreakBefore w:val="0"/>
        <w:widowControl w:val="0"/>
        <w:kinsoku/>
        <w:wordWrap/>
        <w:overflowPunct/>
        <w:topLinePunct w:val="0"/>
        <w:autoSpaceDE/>
        <w:autoSpaceDN/>
        <w:bidi w:val="0"/>
        <w:adjustRightInd/>
        <w:snapToGrid/>
        <w:spacing w:line="400" w:lineRule="exact"/>
        <w:ind w:firstLine="420" w:firstLine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②超过10天收到货款时：</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借：银行存款                                 1 200 000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贷：应收账款                                      1 176 000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贷：财务费用                                         24 000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29.（1）2015年年末，应计提的存货跌价准备为（200万元－180万元）=20万元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会计分录为：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借：资产减值损失                              200 000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贷：存货跌价准备                                 200 000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（2）2016年年末，应补提的存货跌价准备为（200万元－170万元－20万元）=10万元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会计分录为：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借：资产减值损失                              100 000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贷：存货跌价准备                                 100 000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840" w:hanging="840" w:hangingChars="4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（3）2016年年末，该类存货的可变现净值有所恢复，应冲减已计提的存货跌价准备[20万元+10万元－（200万元－194万元）］=24万元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会计分录为：</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借：存货跌价准备                              240 000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 资产减值损失                                240 000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30.该办公楼的残值＝60 000 000×5%=3 000 000（元）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每月的折旧额=（60 000 000－3 000 000）/（12×50）=95 000（元）</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（1）10月初购入：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借：投资性房地产——办公楼                60 000 000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60 000 000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firstLine="210" w:firstLineChars="1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（2）10-12月每月计提折旧：</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借：其他业务成本                   95 000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贷：累计折旧                         95 000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（3）计提减值失</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借：资产减值损失一一计提的投资性房地产减值准备            715 000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贷：投资性房地产减值准备一一办公楼                           715 000</w:t>
      </w:r>
    </w:p>
    <w:p>
      <w:pPr>
        <w:keepNext w:val="0"/>
        <w:keepLines w:val="0"/>
        <w:pageBreakBefore w:val="0"/>
        <w:widowControl w:val="0"/>
        <w:numPr>
          <w:ilvl w:val="0"/>
          <w:numId w:val="3"/>
        </w:numPr>
        <w:tabs>
          <w:tab w:val="clear" w:pos="312"/>
        </w:tabs>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（1）2015年11月1日，初始确认时成应按公允价值计量：</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借：银行存款                      2 500 000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贷：应付债券——面值                   2 500 000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（2）2015年12月31日，计提债券利息：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借：财务费用                         25 000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贷：应付债券——利息                      25 000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2016年12月31日，计提债券利息：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借：财务费用                        150 000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贷：应付债券——利息                     150 000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（3）2017年1月1日购回债券</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借：应付债券——面值              2 500 000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应付债券——利息                175 000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2 600 000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财务费用                              75 000</w:t>
      </w:r>
    </w:p>
    <w:p>
      <w:pPr>
        <w:keepNext w:val="0"/>
        <w:keepLines w:val="0"/>
        <w:pageBreakBefore w:val="0"/>
        <w:widowControl w:val="0"/>
        <w:numPr>
          <w:ilvl w:val="0"/>
          <w:numId w:val="3"/>
        </w:numPr>
        <w:kinsoku/>
        <w:wordWrap/>
        <w:overflowPunct/>
        <w:topLinePunct w:val="0"/>
        <w:autoSpaceDE/>
        <w:autoSpaceDN/>
        <w:bidi w:val="0"/>
        <w:adjustRightInd/>
        <w:snapToGrid/>
        <w:spacing w:line="400" w:lineRule="exact"/>
        <w:ind w:left="0"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（1）2017年12月16日借入：</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借：银行存款                         80 000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贷：短期借款                           80 000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（2）2017年12月31日，确认利息费用200元（80000×6%÷24）：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借：财务费用                            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贷：预提费用                           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（3）2018年1月31日，确认利息费用400元（80000×6%÷12）：</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借：财务费用                            400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贷：预提费用                           400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（4）2018年2月15日，还本付息：</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借：财务费用                            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预提费用                            600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短期借款                         80 000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42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80 800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或 借：财务费用                            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贷：预提费用                           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借：短期借款                         80 000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预提费用                            800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firstLine="630" w:firstLineChars="3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80 800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五、综合题</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33.（1）借：应收票据                             234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贷：主营业务收入                        200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应交税金——应交增值税（销项税额）   34</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借：主营业务成本                         120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贷：库存商品                            120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（2）借：银行存款                               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贷：营业外收入                           6</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（3）借：营业外支出                            68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贷：固定资产清理                       68</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（4）借：税金及附加                             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贷：应交税金——城市维护建设税          3</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（5）借：应收股利——A企业                      6（60*10%）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贷：投资收益——A企业                   6</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315"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借：投资性房地产——成本                  390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15"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累计折旧                               40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15"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固定资产减值                           10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贷：固定资产                            440</w:t>
      </w:r>
    </w:p>
    <w:p>
      <w:pPr>
        <w:keepNext w:val="0"/>
        <w:keepLines w:val="0"/>
        <w:pageBreakBefore w:val="0"/>
        <w:widowControl w:val="0"/>
        <w:numPr>
          <w:ilvl w:val="0"/>
          <w:numId w:val="7"/>
        </w:numPr>
        <w:kinsoku/>
        <w:wordWrap/>
        <w:overflowPunct/>
        <w:topLinePunct w:val="0"/>
        <w:autoSpaceDE/>
        <w:autoSpaceDN/>
        <w:bidi w:val="0"/>
        <w:adjustRightInd/>
        <w:snapToGrid/>
        <w:spacing w:line="400" w:lineRule="exact"/>
        <w:ind w:left="315" w:leftChars="0" w:firstLine="0" w:firstLine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借：投资性房地产——公允价值变动          110（500－390）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15"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贷：公允价值变动损益                    110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34.（1）借：材料采购                                    200 000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应交税费——应交增值税（进项税款）           34 000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234 000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（2）借：交易性金融资产                              48 000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投资收益                                     2 000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50 000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借：银行存款                                    58 000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贷：交易性金融资产                                48 000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投资收益                                      10 000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（3）借：应收票据                                   354 000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贷：主营业务收入                                  300 000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应交税费——应交增值税（销项税额）             54 000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（4）借：银行存款                                 1 638 000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贷：主营业务收入                                  1 400 000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应交税费——应交增值税（销项税额）              238 000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（5）借：固定资产清理                               200 000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累计折旧                                   100 000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贷：固定资产                                      300 000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借：固定资产清理                                 2 000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贷：银行存款                                      2 000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借：银行存款                                     4 500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贷：固定资产清理                                  4 500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借：营业外支出——处置固定资产净损失           197 500                   </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贷：固定资产清理                                   197 500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（6）借：生产成本                                    150 000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贷：原材料                                         150 000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借：管理费用                                      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480" w:leftChars="20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贷：周转材料——低值易耗品                          5 000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15"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（7）借：利润分配——提取法定盈余公积金                 7 500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ind w:left="315" w:leftChars="0"/>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-提取任意盈余公积金                 3 750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-应付普通股股利                    16 000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贷：盈余公积——法定盈余公积金                      7 500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盈余公积——任意盈余公积金                      3 750</w:t>
      </w:r>
    </w:p>
    <w:p>
      <w:pPr>
        <w:keepNext w:val="0"/>
        <w:keepLines w:val="0"/>
        <w:pageBreakBefore w:val="0"/>
        <w:widowControl w:val="0"/>
        <w:numPr>
          <w:ilvl w:val="0"/>
          <w:numId w:val="0"/>
        </w:numPr>
        <w:kinsoku/>
        <w:wordWrap/>
        <w:overflowPunct/>
        <w:topLinePunct w:val="0"/>
        <w:autoSpaceDE/>
        <w:autoSpaceDN/>
        <w:bidi w:val="0"/>
        <w:adjustRightInd/>
        <w:snapToGrid/>
        <w:spacing w:line="400" w:lineRule="exact"/>
        <w:jc w:val="lef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应付股利                                        16 000</w:t>
      </w:r>
    </w:p>
    <w:sectPr>
      <w:pgSz w:w="11906" w:h="16838"/>
      <w:pgMar w:top="1474" w:right="1417" w:bottom="1474" w:left="1474" w:header="0" w:footer="850"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仿宋">
    <w:panose1 w:val="02010600040101010101"/>
    <w:charset w:val="86"/>
    <w:family w:val="auto"/>
    <w:pitch w:val="default"/>
    <w:sig w:usb0="00000287" w:usb1="080F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17513BC"/>
    <w:multiLevelType w:val="singleLevel"/>
    <w:tmpl w:val="E17513BC"/>
    <w:lvl w:ilvl="0" w:tentative="0">
      <w:start w:val="25"/>
      <w:numFmt w:val="decimal"/>
      <w:lvlText w:val="%1."/>
      <w:lvlJc w:val="left"/>
      <w:pPr>
        <w:tabs>
          <w:tab w:val="left" w:pos="312"/>
        </w:tabs>
      </w:pPr>
    </w:lvl>
  </w:abstractNum>
  <w:abstractNum w:abstractNumId="1">
    <w:nsid w:val="F0318AE3"/>
    <w:multiLevelType w:val="singleLevel"/>
    <w:tmpl w:val="F0318AE3"/>
    <w:lvl w:ilvl="0" w:tentative="0">
      <w:start w:val="6"/>
      <w:numFmt w:val="decimal"/>
      <w:suff w:val="nothing"/>
      <w:lvlText w:val="（%1）"/>
      <w:lvlJc w:val="left"/>
      <w:pPr>
        <w:ind w:left="315" w:leftChars="0" w:firstLine="0" w:firstLineChars="0"/>
      </w:pPr>
    </w:lvl>
  </w:abstractNum>
  <w:abstractNum w:abstractNumId="2">
    <w:nsid w:val="0B495CDD"/>
    <w:multiLevelType w:val="singleLevel"/>
    <w:tmpl w:val="0B495CDD"/>
    <w:lvl w:ilvl="0" w:tentative="0">
      <w:start w:val="2"/>
      <w:numFmt w:val="decimal"/>
      <w:lvlText w:val="(%1)"/>
      <w:lvlJc w:val="left"/>
      <w:pPr>
        <w:tabs>
          <w:tab w:val="left" w:pos="312"/>
        </w:tabs>
      </w:pPr>
    </w:lvl>
  </w:abstractNum>
  <w:abstractNum w:abstractNumId="3">
    <w:nsid w:val="361A40F8"/>
    <w:multiLevelType w:val="singleLevel"/>
    <w:tmpl w:val="361A40F8"/>
    <w:lvl w:ilvl="0" w:tentative="0">
      <w:start w:val="2"/>
      <w:numFmt w:val="decimal"/>
      <w:suff w:val="nothing"/>
      <w:lvlText w:val="（%1）"/>
      <w:lvlJc w:val="left"/>
    </w:lvl>
  </w:abstractNum>
  <w:abstractNum w:abstractNumId="4">
    <w:nsid w:val="4A16C8CB"/>
    <w:multiLevelType w:val="singleLevel"/>
    <w:tmpl w:val="4A16C8CB"/>
    <w:lvl w:ilvl="0" w:tentative="0">
      <w:start w:val="24"/>
      <w:numFmt w:val="decimal"/>
      <w:lvlText w:val="%1."/>
      <w:lvlJc w:val="left"/>
      <w:pPr>
        <w:tabs>
          <w:tab w:val="left" w:pos="312"/>
        </w:tabs>
      </w:pPr>
    </w:lvl>
  </w:abstractNum>
  <w:abstractNum w:abstractNumId="5">
    <w:nsid w:val="5D17DE31"/>
    <w:multiLevelType w:val="singleLevel"/>
    <w:tmpl w:val="5D17DE31"/>
    <w:lvl w:ilvl="0" w:tentative="0">
      <w:start w:val="2"/>
      <w:numFmt w:val="chineseCounting"/>
      <w:suff w:val="nothing"/>
      <w:lvlText w:val="%1、"/>
      <w:lvlJc w:val="left"/>
      <w:rPr>
        <w:rFonts w:hint="eastAsia"/>
      </w:rPr>
    </w:lvl>
  </w:abstractNum>
  <w:abstractNum w:abstractNumId="6">
    <w:nsid w:val="764C4888"/>
    <w:multiLevelType w:val="singleLevel"/>
    <w:tmpl w:val="764C4888"/>
    <w:lvl w:ilvl="0" w:tentative="0">
      <w:start w:val="30"/>
      <w:numFmt w:val="decimal"/>
      <w:lvlText w:val="%1."/>
      <w:lvlJc w:val="left"/>
      <w:pPr>
        <w:tabs>
          <w:tab w:val="left" w:pos="312"/>
        </w:tabs>
      </w:pPr>
    </w:lvl>
  </w:abstractNum>
  <w:num w:numId="1">
    <w:abstractNumId w:val="0"/>
  </w:num>
  <w:num w:numId="2">
    <w:abstractNumId w:val="2"/>
  </w:num>
  <w:num w:numId="3">
    <w:abstractNumId w:val="6"/>
  </w:num>
  <w:num w:numId="4">
    <w:abstractNumId w:val="5"/>
  </w:num>
  <w:num w:numId="5">
    <w:abstractNumId w:val="4"/>
  </w:num>
  <w:num w:numId="6">
    <w:abstractNumId w:val="3"/>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1"/>
  </w:compat>
  <w:rsids>
    <w:rsidRoot w:val="00000000"/>
    <w:rsid w:val="2B525872"/>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iPriority="99"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Calibri" w:hAnsi="Calibri" w:eastAsia="宋体" w:cs="Times New Roman"/>
      <w:sz w:val="24"/>
      <w:szCs w:val="24"/>
      <w:lang w:val="en-US" w:eastAsia="en-US"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widowControl w:val="0"/>
      <w:tabs>
        <w:tab w:val="center" w:pos="4153"/>
        <w:tab w:val="right" w:pos="8306"/>
      </w:tabs>
      <w:snapToGrid w:val="0"/>
      <w:spacing w:after="200" w:line="276" w:lineRule="auto"/>
      <w:jc w:val="left"/>
    </w:pPr>
    <w:rPr>
      <w:rFonts w:ascii="华文仿宋" w:hAnsi="华文仿宋" w:eastAsia="华文仿宋" w:cs="华文仿宋"/>
      <w:kern w:val="2"/>
      <w:sz w:val="18"/>
      <w:szCs w:val="24"/>
      <w:lang w:val="en-US" w:eastAsia="zh-CN" w:bidi="ar-SA"/>
    </w:rPr>
  </w:style>
  <w:style w:type="paragraph" w:styleId="3">
    <w:name w:val="header"/>
    <w:basedOn w:val="1"/>
    <w:qFormat/>
    <w:uiPriority w:val="0"/>
    <w:pPr>
      <w:widowControl w:val="0"/>
      <w:pBdr>
        <w:top w:val="none" w:color="auto" w:sz="0" w:space="1"/>
        <w:left w:val="none" w:color="auto" w:sz="0" w:space="4"/>
        <w:bottom w:val="none" w:color="auto" w:sz="0" w:space="1"/>
        <w:right w:val="none" w:color="auto" w:sz="0" w:space="4"/>
      </w:pBdr>
      <w:tabs>
        <w:tab w:val="center" w:pos="4153"/>
        <w:tab w:val="right" w:pos="8306"/>
      </w:tabs>
      <w:snapToGrid w:val="0"/>
      <w:spacing w:after="200" w:line="240" w:lineRule="auto"/>
      <w:jc w:val="both"/>
      <w:outlineLvl w:val="9"/>
    </w:pPr>
    <w:rPr>
      <w:rFonts w:ascii="华文仿宋" w:hAnsi="华文仿宋" w:eastAsia="华文仿宋" w:cs="华文仿宋"/>
      <w:kern w:val="2"/>
      <w:sz w:val="18"/>
      <w:szCs w:val="24"/>
      <w:lang w:val="en-US" w:eastAsia="zh-CN" w:bidi="ar-SA"/>
    </w:rPr>
  </w:style>
  <w:style w:type="table" w:styleId="5">
    <w:name w:val="Table Grid"/>
    <w:basedOn w:val="4"/>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Manager>跨国咨询</Manager>
  <Company>跨国咨询</Company>
  <Pages>9</Pages>
  <Words>0</Words>
  <Characters>0</Characters>
  <Lines>0</Lines>
  <Paragraphs>0</Paragraphs>
  <TotalTime>10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category>跨国咨询</cp:category>
  <dcterms:created xsi:type="dcterms:W3CDTF">2019-02-22T01:47:00Z</dcterms:created>
  <dc:creator>跨国咨询</dc:creator>
  <dc:description>跨国咨询</dc:description>
  <cp:keywords>跨国咨询</cp:keywords>
  <cp:lastModifiedBy>雾墨</cp:lastModifiedBy>
  <dcterms:modified xsi:type="dcterms:W3CDTF">2021-11-20T09:02:25Z</dcterms:modified>
  <dc:subject>跨国咨询</dc:subject>
  <dc:title>跨国咨询</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FB9BE0C57E1C432587208246AB7C752D</vt:lpwstr>
  </property>
</Properties>
</file>