
<file path=[Content_Types].xml><?xml version="1.0" encoding="utf-8"?>
<Types xmlns="http://schemas.openxmlformats.org/package/2006/content-types">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customizations.xml" ContentType="application/vnd.ms-word.keyMapCustomization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themeColor="background1"/>
  <w:body>
    <w:p w:rsidR="00847AFF" w:rsidRPr="001A0304" w:rsidRDefault="00847AFF" w:rsidP="001A0304">
      <w:pPr>
        <w:pStyle w:val="mytitle"/>
      </w:pPr>
      <w:r>
        <w:t>主要知识点：</w:t>
      </w:r>
    </w:p>
    <w:p>
      <w:pPr>
        <w:pStyle w:val="mybody"/>
      </w:pPr>
      <w:r>
        <w:t>第一章医事法的基本理论</w:t>
      </w:r>
    </w:p>
    <w:p>
      <w:pPr>
        <w:pStyle w:val="mybody"/>
      </w:pPr>
      <w:r>
        <w:t>1、卫生法的渊源？</w:t>
      </w:r>
    </w:p>
    <w:p>
      <w:pPr>
        <w:pStyle w:val="mybody"/>
      </w:pPr>
      <w:r>
        <w:t>卫生法的渊源即卫生法法源，是卫生法的各种具体表现形式。</w:t>
      </w:r>
    </w:p>
    <w:p>
      <w:pPr>
        <w:pStyle w:val="mybody"/>
      </w:pPr>
      <w:r>
        <w:t>我国卫生法的渊源主要有：宪法，法律，卫生行政法规，地方性卫生法规，自治条例、单行条例，卫生规章，卫生标准，卫生国际条约。</w:t>
      </w:r>
    </w:p>
    <w:p>
      <w:pPr>
        <w:pStyle w:val="mybody"/>
      </w:pPr>
      <w:r>
        <w:t>2、医事法律的效力问题</w:t>
      </w:r>
    </w:p>
    <w:p>
      <w:pPr>
        <w:pStyle w:val="mybody"/>
      </w:pPr>
      <w:r>
        <w:t>医事法效力范围：是指医事法的生效范围和适用范围。即医事法的时间效力、空间效力和对人的效力。</w:t>
      </w:r>
    </w:p>
    <w:p>
      <w:pPr>
        <w:pStyle w:val="mybody"/>
      </w:pPr>
      <w:r>
        <w:t>卫生法的时间效力:指卫生法律规范从何时开始生效与何时终止效力，以及对其颁布前的事项和行为有无溯及力的问题。溯及力，即卫生法溯及既往的效力，是指新的法律法规对它生效前的事件和行为是否适用的问题。一般采用“从旧兼从轻”的原则。</w:t>
      </w:r>
    </w:p>
    <w:p>
      <w:pPr>
        <w:pStyle w:val="mybody"/>
      </w:pPr>
      <w:r>
        <w:t>2)卫生法的空间效力:指卫生法律法规适用的地域范围，主要由立法机关所管辖的行政区域范围所决定。</w:t>
      </w:r>
    </w:p>
    <w:p>
      <w:pPr>
        <w:pStyle w:val="mybody"/>
      </w:pPr>
      <w:r>
        <w:t>3)卫生法的效力对象:指卫生法律规范对自然人或法人有效的问题。</w:t>
      </w:r>
    </w:p>
    <w:p>
      <w:pPr>
        <w:pStyle w:val="mybody"/>
      </w:pPr>
      <w:r>
        <w:t>3、卫生法律关系的构成要素</w:t>
      </w:r>
    </w:p>
    <w:p>
      <w:pPr>
        <w:pStyle w:val="mybody"/>
      </w:pPr>
      <w:r>
        <w:t>医事法律关系的构成要素:是指构成每一个具体的医事法律关系必须具备的因素。包括主体、内容、客体三个要素。</w:t>
      </w:r>
    </w:p>
    <w:p>
      <w:pPr>
        <w:pStyle w:val="mybody"/>
      </w:pPr>
      <w:r>
        <w:t>医事法律关系的主体:是指参加医事法律关系、享有医事权力和承担医事义务的当事人。在我国包括:国家医药卫生机关、医疗卫生单位、企事业单位、社会团体、公民</w:t>
      </w:r>
    </w:p>
    <w:p>
      <w:pPr>
        <w:pStyle w:val="mybody"/>
      </w:pPr>
      <w:r>
        <w:t>医事法律关系的内容:是指医事法律关系主体依法享有的医事权力和承担的医事义务。</w:t>
      </w:r>
    </w:p>
    <w:p>
      <w:pPr>
        <w:pStyle w:val="mybody"/>
      </w:pPr>
      <w:r>
        <w:t>医事法律关系的客体:是指医事法律关系主体的医事权力和医事义务所指向的对象。</w:t>
      </w:r>
    </w:p>
    <w:p>
      <w:pPr>
        <w:pStyle w:val="mybody"/>
      </w:pPr>
      <w:r>
        <w:t>第二章执业医师管理法律制度</w:t>
      </w:r>
    </w:p>
    <w:p>
      <w:pPr>
        <w:pStyle w:val="mybody"/>
      </w:pPr>
      <w:r>
        <w:t>1、参加执业助理医师资格考试的条件是什么？</w:t>
      </w:r>
    </w:p>
    <w:p>
      <w:pPr>
        <w:pStyle w:val="mybody"/>
      </w:pPr>
      <w:r>
        <w:t>具有高等学校医学专科学历或者中等专业学校医学专业学历，在执业医师指导下，在医疗、预防、保健机构中试用期满一年的，可以参加执业助理医师资格考试。</w:t>
      </w:r>
    </w:p>
    <w:p>
      <w:pPr>
        <w:pStyle w:val="mybody"/>
      </w:pPr>
      <w:r>
        <w:t>以师承方式学习传统医学满三年或者经多年实践医术确有专长的，经县级以上人民政府卫生行政部门确定的传统医学专业组织或者医疗、预防、保健机构考核合格并推荐，可以参加执业医师资格或者执业助理医师资格考试。</w:t>
      </w:r>
    </w:p>
    <w:p>
      <w:pPr>
        <w:pStyle w:val="mybody"/>
      </w:pPr>
      <w:r>
        <w:t>2、执业医师资格考试的种类。</w:t>
      </w:r>
    </w:p>
    <w:p>
      <w:pPr>
        <w:pStyle w:val="mybody"/>
      </w:pPr>
      <w:r>
        <w:t>分为临床、中医、口腔、公共卫生四类。中医类包括中医、民族医和中西医结合，其中民族医又含蒙医、藏医和维医、傣医四类。</w:t>
      </w:r>
    </w:p>
    <w:p>
      <w:pPr>
        <w:pStyle w:val="mybody"/>
      </w:pPr>
      <w:r>
        <w:t>3、执业医师的权利包括哪些？</w:t>
      </w:r>
    </w:p>
    <w:p>
      <w:pPr>
        <w:pStyle w:val="mybody"/>
      </w:pPr>
      <w:r>
        <w:t>1、行医权、2、获得医疗设备基本条件权、3、从事医学研究学术交流，参加专业团体的权利4、参加专业培训和继续医学教育的权利5、人格尊严和人身安全不受侵犯的权利、6、获取工资和津贴，享受国家规定的福利待遇、7、参与所在机构民主管理的权利</w:t>
      </w:r>
    </w:p>
    <w:p>
      <w:pPr>
        <w:pStyle w:val="mybody"/>
      </w:pPr>
      <w:r>
        <w:t>4、医师应当接受定期考核，对考核不合格的医师，卫生行政部门可以采取什么措施？</w:t>
      </w:r>
    </w:p>
    <w:p>
      <w:pPr>
        <w:pStyle w:val="mybody"/>
      </w:pPr>
      <w:r>
        <w:t>职业道德施行定期考核(2年)。考核不合格者责令暂停执业3～6个月，培训后再考核；再次考核不合格：注销注册，收回证书。</w:t>
      </w:r>
    </w:p>
    <w:p>
      <w:pPr>
        <w:pStyle w:val="mybody"/>
      </w:pPr>
      <w:r>
        <w:t>5、执业医师的执业地点。</w:t>
      </w:r>
    </w:p>
    <w:p>
      <w:pPr>
        <w:pStyle w:val="mybody"/>
      </w:pPr>
      <w:r>
        <w:t>执业医师执业的医疗、预防、xx机构</w:t>
      </w:r>
    </w:p>
    <w:p>
      <w:pPr>
        <w:pStyle w:val="mybody"/>
      </w:pPr>
      <w:r>
        <w:t>6、申请个体行医的条件</w:t>
      </w:r>
    </w:p>
    <w:p>
      <w:pPr>
        <w:pStyle w:val="mybody"/>
      </w:pPr>
      <w:r>
        <w:t>申请个体行医的执业医师，须经注册后在医疗、预防、保健机构中执业满五年，并按照国家有关规定办理审批手续;未经批准，不得行医。</w:t>
      </w:r>
    </w:p>
    <w:p>
      <w:pPr>
        <w:pStyle w:val="mybody"/>
      </w:pPr>
      <w:r>
        <w:t>第三章医疗机构管理法律制度</w:t>
      </w:r>
    </w:p>
    <w:p>
      <w:pPr>
        <w:pStyle w:val="mybody"/>
      </w:pPr>
      <w:r>
        <w:t>1、医疗机构的命名</w:t>
      </w:r>
    </w:p>
    <w:p>
      <w:pPr>
        <w:pStyle w:val="mybody"/>
      </w:pPr>
      <w:r>
        <w:t>第四十一条,医疗机构的命名必须符合以下原则：</w:t>
      </w:r>
    </w:p>
    <w:p>
      <w:pPr>
        <w:pStyle w:val="mybody"/>
      </w:pPr>
      <w:r>
        <w:t>(一)医疗机构的通用名称以前条第二款所列的名称为限;</w:t>
      </w:r>
    </w:p>
    <w:p>
      <w:pPr>
        <w:pStyle w:val="mybody"/>
      </w:pPr>
      <w:r>
        <w:t>(二)前条第三款所列的医疗机构的识别名称可以合并使用;</w:t>
      </w:r>
    </w:p>
    <w:p>
      <w:pPr>
        <w:pStyle w:val="mybody"/>
      </w:pPr>
      <w:r>
        <w:t>(三)名称必须名符其实;</w:t>
      </w:r>
    </w:p>
    <w:p>
      <w:pPr>
        <w:pStyle w:val="mybody"/>
      </w:pPr>
      <w:r>
        <w:t>(四)名称必须与医疗机构类别或者诊疗科目相适应;</w:t>
      </w:r>
    </w:p>
    <w:p>
      <w:pPr>
        <w:pStyle w:val="mybody"/>
      </w:pPr>
      <w:r>
        <w:t>(五)各级地方人民政府设置的医疗机构的识别名称中应当含有省、市、县、区、街道、乡、镇、村等行政区划名称，其他医疗机构的识别名称中不得含有行政区划名称;</w:t>
      </w:r>
    </w:p>
    <w:p>
      <w:pPr>
        <w:pStyle w:val="mybody"/>
      </w:pPr>
      <w:r>
        <w:t>(六)国家机关、企业和事业单位、社会团体或者个人设置的医疗机构的名称中应当含有设置单位名称或者个人的姓名。</w:t>
      </w:r>
    </w:p>
    <w:p>
      <w:pPr>
        <w:pStyle w:val="mybody"/>
      </w:pPr>
      <w:r>
        <w:t>第四十二条医疗机构不得使用下列名称：</w:t>
      </w:r>
    </w:p>
    <w:p>
      <w:pPr>
        <w:pStyle w:val="mybody"/>
      </w:pPr>
      <w:r>
        <w:t>(一)有损于国家、社会或者公共利益的名称;(二)侵犯他人利益的名称;(三)以外文字母、汉语拼音组成的名称;</w:t>
      </w:r>
    </w:p>
    <w:p>
      <w:pPr>
        <w:pStyle w:val="mybody"/>
      </w:pPr>
      <w:r>
        <w:t>(四)以医疗仪器、药品、医用产品命名的名称;</w:t>
      </w:r>
    </w:p>
    <w:p>
      <w:pPr>
        <w:pStyle w:val="mybody"/>
      </w:pPr>
      <w:r>
        <w:t>(五)含有"疑难病"、"专治"、"专家"、"名医"或者同类含义文字的名称以及其他宣传或者暗示诊疗效果的名称;</w:t>
      </w:r>
    </w:p>
    <w:p>
      <w:pPr>
        <w:pStyle w:val="mybody"/>
      </w:pPr>
      <w:r>
        <w:t>(六)超出登记的诊疗科目范围的名称;</w:t>
      </w:r>
    </w:p>
    <w:p>
      <w:pPr>
        <w:pStyle w:val="mybody"/>
      </w:pPr>
      <w:r>
        <w:t>(七)省级以上卫生行政部门规定不得使用的名称</w:t>
      </w:r>
    </w:p>
    <w:p>
      <w:pPr>
        <w:pStyle w:val="mybody"/>
      </w:pPr>
      <w:r>
        <w:t>2、医疗机构的类别</w:t>
      </w:r>
    </w:p>
    <w:p>
      <w:pPr>
        <w:pStyle w:val="mybody"/>
      </w:pPr>
      <w:r>
        <w:t>(1)医院——综合医院、中医医院、中西医结合医院、民族医院、专科医院、疗养院、护理站</w:t>
      </w:r>
    </w:p>
    <w:p>
      <w:pPr>
        <w:pStyle w:val="mybody"/>
      </w:pPr>
      <w:r>
        <w:t>(2)社区卫生服务中心(站)——社区卫生服务中心、社区卫生服务站(3)卫生院——街道卫生院、乡镇卫生院</w:t>
      </w:r>
    </w:p>
    <w:p>
      <w:pPr>
        <w:pStyle w:val="mybody"/>
      </w:pPr>
      <w:r>
        <w:t>(4)门诊部、诊所、卫生所、医务室、村卫生室</w:t>
      </w:r>
    </w:p>
    <w:p>
      <w:pPr>
        <w:pStyle w:val="mybody"/>
      </w:pPr>
      <w:r>
        <w:t>(5)急救中心(站)——急救中心、急救中心站、急救站</w:t>
      </w:r>
    </w:p>
    <w:p>
      <w:pPr>
        <w:pStyle w:val="mybody"/>
      </w:pPr>
      <w:r>
        <w:t>(6)采供血机构一血站、单采血浆站</w:t>
      </w:r>
    </w:p>
    <w:p>
      <w:pPr>
        <w:pStyle w:val="mybody"/>
      </w:pPr>
      <w:r>
        <w:t>(7)妇幼保健院(所、站)一妇幼保健院、妇幼保健所、妇幼保健站、生殖保健中心</w:t>
      </w:r>
    </w:p>
    <w:p>
      <w:pPr>
        <w:pStyle w:val="mybody"/>
      </w:pPr>
      <w:r>
        <w:t>(8)专科疾病防治院(所、站)</w:t>
      </w:r>
    </w:p>
    <w:p>
      <w:pPr>
        <w:pStyle w:val="mybody"/>
      </w:pPr>
      <w:r>
        <w:t>(9)疾病预防控制中心(防疫站)一疾病预防控制中心、卫生防疫站、卫生防病中心、预防保健中心</w:t>
      </w:r>
    </w:p>
    <w:p>
      <w:pPr>
        <w:pStyle w:val="mybody"/>
      </w:pPr>
      <w:r>
        <w:t>(10)卫生监督所(局)</w:t>
      </w:r>
    </w:p>
    <w:p>
      <w:pPr>
        <w:pStyle w:val="mybody"/>
      </w:pPr>
      <w:r>
        <w:t>(11)健康教育所(站、中心)</w:t>
      </w:r>
    </w:p>
    <w:p>
      <w:pPr>
        <w:pStyle w:val="mybody"/>
      </w:pPr>
      <w:r>
        <w:t>(12)卫生监督检验(监测、检验)所(站)</w:t>
      </w:r>
    </w:p>
    <w:p>
      <w:pPr>
        <w:pStyle w:val="mybody"/>
      </w:pPr>
      <w:r>
        <w:t>(13)医学科学研究机构</w:t>
      </w:r>
    </w:p>
    <w:p>
      <w:pPr>
        <w:pStyle w:val="mybody"/>
      </w:pPr>
      <w:r>
        <w:t>(14)医学教育机构一医学普通高中等学校、医学成人学校、医学在职培训机构(15)其他卫生机构一临床检验中心(所站卫生新闻出版社、其他卫生事业机构复制|发</w:t>
      </w:r>
    </w:p>
    <w:p>
      <w:pPr>
        <w:pStyle w:val="mybody"/>
      </w:pPr>
      <w:r>
        <w:t>(16)卫生社会团体</w:t>
      </w:r>
    </w:p>
    <w:p>
      <w:pPr>
        <w:pStyle w:val="mybody"/>
      </w:pPr>
      <w:r>
        <w:t>-红十字会、医学会、卫生协会、其他卫生社会团体</w:t>
      </w:r>
    </w:p>
    <w:p>
      <w:pPr>
        <w:pStyle w:val="mybody"/>
      </w:pPr>
      <w:r>
        <w:t>3、医疗机构病历保管期限的规定</w:t>
      </w:r>
    </w:p>
    <w:p>
      <w:pPr>
        <w:pStyle w:val="mybody"/>
      </w:pPr>
      <w:r>
        <w:t>医疗机构的门诊病历的保存期不得少于15年，住院病历的保存期不得少于30年。</w:t>
      </w:r>
    </w:p>
    <w:p>
      <w:pPr>
        <w:pStyle w:val="mybody"/>
      </w:pPr>
      <w:r>
        <w:t>第四章医疗事故处理法律制度</w:t>
      </w:r>
    </w:p>
    <w:p>
      <w:pPr>
        <w:pStyle w:val="mybody"/>
      </w:pPr>
      <w:r>
        <w:t>1、医疗事故</w:t>
      </w:r>
    </w:p>
    <w:p>
      <w:pPr>
        <w:pStyle w:val="mybody"/>
      </w:pPr>
      <w:r>
        <w:t>医疗事故必须是治疗结束后经医疗事故鉴定委员会，根据病员受损害的程度和医政部门出台的《侵权责任法》、《医疗事故处理条例》等法律条规，进行医疗过错参与责任度鉴定和因果关系等级评定。医疗事故是指医疗机构的主要医务工作人员因违反医疗卫生管理法律、行政法规、部门规章和诊疗护理规范、常规，在接诊运输、登记检查、护理治疗诊疗等活动程序中，未尽到应有的措施和治疗水平或措施不当、治疗态度消极、延误时机，告知错误，误诊漏诊、弄虚作假错误干预等不良行为，以致病员智力、身体发生了不应有的损害或延误了治疗时机造成了病情加重或死亡所产生的生命财产有额外损失的情况。（等级：一级、二级、三级、四级</w:t>
      </w:r>
    </w:p>
    <w:p>
      <w:pPr>
        <w:pStyle w:val="mybody"/>
      </w:pPr>
      <w:r>
        <w:t>第五章传染病防治法律制度</w:t>
      </w:r>
    </w:p>
    <w:p>
      <w:pPr>
        <w:pStyle w:val="mybody"/>
      </w:pPr>
      <w:r>
        <w:t>1、传染病防治法中规定的甲类传染病是？按照传染病防治法的规定，对疑似甲类传染病病人在明确诊断前应采取什么措施？</w:t>
      </w:r>
    </w:p>
    <w:p>
      <w:pPr>
        <w:pStyle w:val="mybody"/>
      </w:pPr>
      <w:r>
        <w:t>甲类：鼠疫、霍乱：医疗机构发现甲类传染病时，应当及时采取下列措施：(1)隔离治疗，隔离期限根据医学检查结果确定；(2)对疑似病人，确诊前在指定场所单独隔离治疗；(3)对医疗机构内的病人、病原携带者、疑似病人的密切接触者在指定场所进行医学观察和采取其他必要的预防措施。拒绝隔离治疗或者隔离期未满擅自脱离隔离治疗的可以由公安机关协助医疗机构采取强制隔离治疗措施。</w:t>
      </w:r>
    </w:p>
    <w:p>
      <w:pPr>
        <w:pStyle w:val="mybody"/>
      </w:pPr>
      <w:r>
        <w:t>2、对于乙类传染病中的哪些疾病可以直接采取甲类传染病的预防、控制措施。</w:t>
      </w:r>
    </w:p>
    <w:p>
      <w:pPr>
        <w:pStyle w:val="mybody"/>
      </w:pPr>
      <w:r>
        <w:t>传染性非典型肺炎、肺炭疽、人感染高致病性禽流感</w:t>
      </w:r>
    </w:p>
    <w:p>
      <w:pPr>
        <w:pStyle w:val="mybody"/>
      </w:pPr>
      <w:r>
        <w:t>第六章突发公共卫生事件应急处理制度</w:t>
      </w:r>
    </w:p>
    <w:p>
      <w:pPr>
        <w:pStyle w:val="mybody"/>
      </w:pPr>
      <w:r>
        <w:t>1、任何单位和个人对突发公共卫生事件的报告义务是如何要求的？</w:t>
      </w:r>
    </w:p>
    <w:p>
      <w:pPr>
        <w:pStyle w:val="mybody"/>
      </w:pPr>
      <w:r>
        <w:t>任何单位和个人必须按照规定及时如实报告突发公共卫生事件与传染病获得突发公共卫生事件相关信息的责任报告单位和责任报告人，应当在２小时内以电话或传真等方式向属地卫生行政部门指定的专业机构报告，具备网络直报条件的要同时进行网络直报，直报的信息由指定的专业机构审核后进入国家数据库。不具备网络直报条件的责任报告单位和责任报告人，应采用最快的通讯方式将《突发公共卫生事件相关信息报告卡》报送属地卫生行政部门指定的专业机构，接到《突发公共卫生事件相关信息报告卡》的专业机构，应对信息进行审核，确定真实性，2小时内进行网络直报，同时以电话或传真等方式报告同级卫生行政部门。</w:t>
      </w:r>
    </w:p>
    <w:p>
      <w:pPr>
        <w:pStyle w:val="mybody"/>
      </w:pPr>
      <w:r>
        <w:t>接到突发公共卫生事件相关信息报告的卫生行政部门应当尽快组织有关专家进行现场调查，如确认为实际发生突发公共卫生事件，应根据不同的级别，及时组织采取相应的措施，并在２小时内向本级人民政府报告，同时向上一级人民政府卫生行政部门报告。如尚未达到突发公共卫生事件标准的，由专业防治机构密切跟踪事态发展，随时报告事态变化情况。疫情信息，不得瞒报、缓报、谎报或者授意他人瞒报、缓报、谎报。</w:t>
      </w:r>
    </w:p>
    <w:p>
      <w:pPr>
        <w:pStyle w:val="mybody"/>
      </w:pPr>
      <w:r>
        <w:t>第七章药品管理法律制度</w:t>
      </w:r>
    </w:p>
    <w:p>
      <w:pPr>
        <w:pStyle w:val="mybody"/>
      </w:pPr>
      <w:r>
        <w:t>1、国家对药品实行什么分类管理制度</w:t>
      </w:r>
    </w:p>
    <w:p>
      <w:pPr>
        <w:pStyle w:val="mybody"/>
      </w:pPr>
      <w:r>
        <w:t>处方与药非处方药分类管理</w:t>
      </w:r>
    </w:p>
    <w:p>
      <w:pPr>
        <w:pStyle w:val="mybody"/>
      </w:pPr>
      <w:r>
        <w:t>2、我国《药品管理法》规定的特殊药品包括哪些？</w:t>
      </w:r>
    </w:p>
    <w:p>
      <w:pPr>
        <w:pStyle w:val="mybody"/>
      </w:pPr>
      <w:r>
        <w:t>麻醉药品、精神药品、医疗用毒性药品、放射性药品是法律规定的特殊药品，简称为“麻、精、毒、放”。</w:t>
      </w:r>
    </w:p>
    <w:p>
      <w:pPr>
        <w:pStyle w:val="mybody"/>
      </w:pPr>
      <w:r>
        <w:t>第八章处方管理法律制度</w:t>
      </w:r>
    </w:p>
    <w:p>
      <w:pPr>
        <w:pStyle w:val="mybody"/>
      </w:pPr>
      <w:r>
        <w:t>1、医师开具处方和药剂师调剂处方应当遵循的原则有哪些？</w:t>
      </w:r>
    </w:p>
    <w:p>
      <w:pPr>
        <w:pStyle w:val="mybody"/>
      </w:pPr>
      <w:r>
        <w:t>安全，有效，经济</w:t>
      </w:r>
    </w:p>
    <w:p>
      <w:pPr>
        <w:pStyle w:val="mybody"/>
      </w:pPr>
      <w:r>
        <w:t>第九章献血法与医疗机构临床用血管理办法</w:t>
      </w:r>
    </w:p>
    <w:p>
      <w:pPr>
        <w:pStyle w:val="mybody"/>
      </w:pPr>
      <w:r>
        <w:t>1、医疗机构因应急用血需要临时采集血液，必须符合哪些条件？</w:t>
      </w:r>
    </w:p>
    <w:p>
      <w:pPr>
        <w:pStyle w:val="mybody"/>
      </w:pPr>
      <w:r>
        <w:t>(一)边远地区的医疗机构和所在地无血站(或中心血库)；</w:t>
      </w:r>
    </w:p>
    <w:p>
      <w:pPr>
        <w:pStyle w:val="mybody"/>
      </w:pPr>
      <w:r>
        <w:t>(二)危及病人生命，急需输血，而其他医疗措施所不能替代；</w:t>
      </w:r>
    </w:p>
    <w:p>
      <w:pPr>
        <w:pStyle w:val="mybody"/>
      </w:pPr>
      <w:r>
        <w:t>(三)具备交叉配血及快速诊断方法检验乙型肝炎病毒表面抗原、丙型肝炎病毒抗体、艾滋病病毒抗体的条件。医疗机构应当在临时采集血液后十日内将情况报告当地县级以上人民政府卫生行政主管部门。</w:t>
      </w:r>
    </w:p>
    <w:sectPr w:rsidR="00847AFF" w:rsidRPr="001A0304" w:rsidSect="006E2E27">
      <w:headerReference w:type="even" r:id="rId9"/>
      <w:headerReference w:type="default" r:id="rId10"/>
      <w:footerReference w:type="default" r:id="rId11"/>
      <w:headerReference w:type="first" r:id="rId12"/>
      <w:pgSz w:w="11906" w:h="16838"/>
      <w:pgMar w:top="1440" w:right="1080" w:bottom="1440" w:left="1080" w:header="568" w:footer="0" w:gutter="0"/>
      <w:pgNumType w:start="1"/>
      <w:cols w:space="425"/>
      <w:docGrid w:linePitch="697" w:charSpace="39997"/>
    </w:sectPr>
  </w:body>
</w:document>
</file>

<file path=word/customizations.xml><?xml version="1.0" encoding="utf-8"?>
<wne:tcg xmlns:r="http://schemas.openxmlformats.org/officeDocument/2006/relationships" xmlns:wne="http://schemas.microsoft.com/office/word/2006/wordml">
  <wne:keymaps>
    <wne:keymap wne:kcmPrimary="0170">
      <wne:fci wne:fciName="FormattingProperties" wne:swArg="0000"/>
    </wne:keymap>
    <wne:keymap wne:kcmPrimary="0230">
      <wne:fci wne:fciName="OpenOrCloseUpPara" wne:swArg="0000"/>
    </wne:keymap>
    <wne:keymap wne:kcmPrimary="0232">
      <wne:fci wne:fciName="SpacePara2" wne:swArg="0000"/>
    </wne:keymap>
    <wne:keymap wne:kcmPrimary="0235">
      <wne:fci wne:fciName="SpacePara15" wne:swArg="0000"/>
    </wne:keymap>
    <wne:keymap wne:kcmPrimary="02DB">
      <wne:fci wne:fciName="ShrinkFontOnePoint" wne:swArg="0000"/>
    </wne:keymap>
    <wne:keymap wne:kcmPrimary="02DD">
      <wne:fci wne:fciName="GrowFontOnePoint" wne:swArg="0000"/>
    </wne:keymap>
    <wne:keymap wne:kcmPrimary="0346">
      <wne:fci wne:fciName="Font" wne:swArg="0000"/>
    </wne:keymap>
    <wne:keymap wne:kcmPrimary="0631">
      <wne:fci wne:fciName="ApplyHeading1" wne:swArg="0000"/>
    </wne:keymap>
    <wne:keymap wne:kcmPrimary="0632">
      <wne:fci wne:fciName="ApplyHeading2" wne:swArg="0000"/>
    </wne:keymap>
    <wne:keymap wne:kcmPrimary="0633">
      <wne:fci wne:fciName="ApplyHeading3" wne:swArg="0000"/>
    </wne:keymap>
  </wne:keymap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A6E23" w:rsidRDefault="000A6E23">
      <w:pPr>
        <w:spacing w:after="0" w:line="240" w:lineRule="auto"/>
      </w:pPr>
      <w:r>
        <w:separator/>
      </w:r>
    </w:p>
  </w:endnote>
  <w:endnote w:type="continuationSeparator" w:id="0">
    <w:p w:rsidR="000A6E23" w:rsidRDefault="000A6E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24492644"/>
      <w:docPartObj>
        <w:docPartGallery w:val="Page Numbers (Bottom of Page)"/>
        <w:docPartUnique/>
      </w:docPartObj>
    </w:sdtPr>
    <w:sdtEndPr/>
    <w:sdtContent>
      <w:sdt>
        <w:sdtPr>
          <w:id w:val="1728636285"/>
          <w:docPartObj>
            <w:docPartGallery w:val="Page Numbers (Top of Page)"/>
            <w:docPartUnique/>
          </w:docPartObj>
        </w:sdtPr>
        <w:sdtEndPr/>
        <w:sdtContent>
          <w:p w:rsidR="006E2E27" w:rsidRDefault="006E2E27">
            <w:pPr>
              <w:pStyle w:val="a5"/>
              <w:jc w:val="center"/>
            </w:pPr>
            <w:r>
              <w:rPr>
                <w:lang w:val="zh-CN" w:eastAsia="zh-CN"/>
              </w:rPr>
              <w:t xml:space="preserve"> </w:t>
            </w:r>
            <w:r>
              <w:rPr>
                <w:b/>
                <w:bCs/>
                <w:sz w:val="24"/>
                <w:szCs w:val="24"/>
              </w:rPr>
              <w:fldChar w:fldCharType="begin"/>
            </w:r>
            <w:r>
              <w:rPr>
                <w:b/>
                <w:bCs/>
              </w:rPr>
              <w:instrText>PAGE</w:instrText>
            </w:r>
            <w:r>
              <w:rPr>
                <w:b/>
                <w:bCs/>
                <w:sz w:val="24"/>
                <w:szCs w:val="24"/>
              </w:rPr>
              <w:fldChar w:fldCharType="separate"/>
            </w:r>
            <w:r w:rsidR="001A0304">
              <w:rPr>
                <w:b/>
                <w:bCs/>
                <w:noProof/>
              </w:rPr>
              <w:t>1</w:t>
            </w:r>
            <w:r>
              <w:rPr>
                <w:b/>
                <w:bCs/>
                <w:sz w:val="24"/>
                <w:szCs w:val="24"/>
              </w:rPr>
              <w:fldChar w:fldCharType="end"/>
            </w:r>
            <w:r>
              <w:rPr>
                <w:lang w:val="zh-CN" w:eastAsia="zh-CN"/>
              </w:rPr>
              <w:t xml:space="preserve"> / </w:t>
            </w:r>
            <w:r>
              <w:rPr>
                <w:b/>
                <w:bCs/>
                <w:sz w:val="24"/>
                <w:szCs w:val="24"/>
              </w:rPr>
              <w:fldChar w:fldCharType="begin"/>
            </w:r>
            <w:r>
              <w:rPr>
                <w:b/>
                <w:bCs/>
              </w:rPr>
              <w:instrText>NUMPAGES</w:instrText>
            </w:r>
            <w:r>
              <w:rPr>
                <w:b/>
                <w:bCs/>
                <w:sz w:val="24"/>
                <w:szCs w:val="24"/>
              </w:rPr>
              <w:fldChar w:fldCharType="separate"/>
            </w:r>
            <w:r w:rsidR="001A0304">
              <w:rPr>
                <w:b/>
                <w:bCs/>
                <w:noProof/>
              </w:rPr>
              <w:t>1</w:t>
            </w:r>
            <w:r>
              <w:rPr>
                <w:b/>
                <w:bCs/>
                <w:sz w:val="24"/>
                <w:szCs w:val="24"/>
              </w:rPr>
              <w:fldChar w:fldCharType="end"/>
            </w:r>
          </w:p>
        </w:sdtContent>
      </w:sdt>
    </w:sdtContent>
  </w:sdt>
  <w:p w:rsidR="0005640D" w:rsidRDefault="0005640D">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A6E23" w:rsidRDefault="000A6E23">
      <w:pPr>
        <w:spacing w:after="0" w:line="240" w:lineRule="auto"/>
      </w:pPr>
      <w:r>
        <w:separator/>
      </w:r>
    </w:p>
  </w:footnote>
  <w:footnote w:type="continuationSeparator" w:id="0">
    <w:p w:rsidR="000A6E23" w:rsidRDefault="000A6E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40D" w:rsidRDefault="0005640D" w:rsidP="00A074B4">
    <w:pPr>
      <w:pStyle w:val="a4"/>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40D" w:rsidRDefault="0005640D" w:rsidP="00216DC7">
    <w:pPr>
      <w:pStyle w:val="a4"/>
      <w:pBdr>
        <w:bottom w:val="none" w:sz="0" w:space="0" w:color="auto"/>
      </w:pBdr>
      <w:rPr>
        <w:lang w:eastAsia="zh-C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640D" w:rsidRDefault="0005640D">
    <w:pPr>
      <w:pStyle w:val="a4"/>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3D06BF"/>
    <w:multiLevelType w:val="hybridMultilevel"/>
    <w:tmpl w:val="11CAB280"/>
    <w:lvl w:ilvl="0" w:tplc="455AE6BA">
      <w:start w:val="1"/>
      <w:numFmt w:val="bullet"/>
      <w:lvlText w:val=""/>
      <w:lvlJc w:val="left"/>
      <w:pPr>
        <w:ind w:left="229"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3"/>
  <w:displayBackgroundShape/>
  <w:bordersDoNotSurroundHeader/>
  <w:bordersDoNotSurroundFooter/>
  <w:proofState w:spelling="clean" w:grammar="clean"/>
  <w:defaultTabStop w:val="420"/>
  <w:drawingGridHorizontalSpacing w:val="208"/>
  <w:drawingGridVerticalSpacing w:val="697"/>
  <w:displayHorizontalDrawingGridEvery w:val="0"/>
  <w:characterSpacingControl w:val="compressPunctuation"/>
  <w:hdrShapeDefaults>
    <o:shapedefaults v:ext="edit" spidmax="2049">
      <o:colormru v:ext="edit" colors="#ededed"/>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40D"/>
    <w:rsid w:val="00030444"/>
    <w:rsid w:val="00030588"/>
    <w:rsid w:val="00053BB4"/>
    <w:rsid w:val="0005640D"/>
    <w:rsid w:val="00067B28"/>
    <w:rsid w:val="00087124"/>
    <w:rsid w:val="000A6352"/>
    <w:rsid w:val="000A6E23"/>
    <w:rsid w:val="000B48AE"/>
    <w:rsid w:val="000E1176"/>
    <w:rsid w:val="000F507E"/>
    <w:rsid w:val="00112C0B"/>
    <w:rsid w:val="00133726"/>
    <w:rsid w:val="00151A9D"/>
    <w:rsid w:val="001A0304"/>
    <w:rsid w:val="00216DC7"/>
    <w:rsid w:val="0023415B"/>
    <w:rsid w:val="00271D6D"/>
    <w:rsid w:val="00313F38"/>
    <w:rsid w:val="0032756C"/>
    <w:rsid w:val="003730F4"/>
    <w:rsid w:val="003F508B"/>
    <w:rsid w:val="003F7F0C"/>
    <w:rsid w:val="00400C0A"/>
    <w:rsid w:val="00425F34"/>
    <w:rsid w:val="004757B6"/>
    <w:rsid w:val="00534A34"/>
    <w:rsid w:val="00552208"/>
    <w:rsid w:val="00574ACC"/>
    <w:rsid w:val="00580BFC"/>
    <w:rsid w:val="005D0C34"/>
    <w:rsid w:val="00603248"/>
    <w:rsid w:val="00652F7F"/>
    <w:rsid w:val="006664BE"/>
    <w:rsid w:val="00690A00"/>
    <w:rsid w:val="006B003B"/>
    <w:rsid w:val="006E2E27"/>
    <w:rsid w:val="006F4939"/>
    <w:rsid w:val="006F67B6"/>
    <w:rsid w:val="00712B76"/>
    <w:rsid w:val="00742EC5"/>
    <w:rsid w:val="0076151C"/>
    <w:rsid w:val="00767DC1"/>
    <w:rsid w:val="00780837"/>
    <w:rsid w:val="007B0DB4"/>
    <w:rsid w:val="008345CF"/>
    <w:rsid w:val="00840030"/>
    <w:rsid w:val="00847AFF"/>
    <w:rsid w:val="00851339"/>
    <w:rsid w:val="00870161"/>
    <w:rsid w:val="00887665"/>
    <w:rsid w:val="008A206B"/>
    <w:rsid w:val="00922CA7"/>
    <w:rsid w:val="00931F76"/>
    <w:rsid w:val="00952559"/>
    <w:rsid w:val="00952836"/>
    <w:rsid w:val="009B3AFD"/>
    <w:rsid w:val="00A074B4"/>
    <w:rsid w:val="00A260DC"/>
    <w:rsid w:val="00A341AB"/>
    <w:rsid w:val="00A3694C"/>
    <w:rsid w:val="00A5688B"/>
    <w:rsid w:val="00A939AF"/>
    <w:rsid w:val="00AA7602"/>
    <w:rsid w:val="00AB291B"/>
    <w:rsid w:val="00B761EB"/>
    <w:rsid w:val="00B90C64"/>
    <w:rsid w:val="00BC6020"/>
    <w:rsid w:val="00BC718E"/>
    <w:rsid w:val="00BE4DC7"/>
    <w:rsid w:val="00C64CAD"/>
    <w:rsid w:val="00C65C54"/>
    <w:rsid w:val="00C969F0"/>
    <w:rsid w:val="00CB7CDF"/>
    <w:rsid w:val="00D14141"/>
    <w:rsid w:val="00D573EA"/>
    <w:rsid w:val="00DA3A45"/>
    <w:rsid w:val="00DA4AE5"/>
    <w:rsid w:val="00DE1A78"/>
    <w:rsid w:val="00E305EF"/>
    <w:rsid w:val="00E5131B"/>
    <w:rsid w:val="00EB588A"/>
    <w:rsid w:val="00F76C4C"/>
    <w:rsid w:val="00FB0F8B"/>
    <w:rsid w:val="00FB1B82"/>
    <w:rsid w:val="00FB2085"/>
    <w:rsid w:val="00FC65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colormru v:ext="edit" colors="#ededed"/>
    </o:shapedefaults>
    <o:shapelayout v:ext="edit">
      <o:idmap v:ext="edit" data="1"/>
    </o:shapelayout>
  </w:shapeDefaults>
  <w:decimalSymbol w:val="."/>
  <w:listSeparator w:val=","/>
  <w15:chartTrackingRefBased/>
  <w15:docId w15:val="{35F254BA-FC2D-4D52-A5B4-CB6B308860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rPr>
      <w:kern w:val="0"/>
      <w:sz w:val="22"/>
      <w:lang w:eastAsia="en-US"/>
    </w:rPr>
  </w:style>
  <w:style w:type="paragraph" w:styleId="1">
    <w:name w:val="heading 1"/>
    <w:basedOn w:val="a"/>
    <w:next w:val="a"/>
    <w:link w:val="1Char"/>
    <w:uiPriority w:val="9"/>
    <w:qFormat/>
    <w:pPr>
      <w:keepNext/>
      <w:keepLines/>
      <w:spacing w:before="340" w:after="330" w:line="578" w:lineRule="auto"/>
      <w:outlineLvl w:val="0"/>
    </w:pPr>
    <w:rPr>
      <w:b/>
      <w:bCs/>
      <w:kern w:val="44"/>
      <w:sz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Char">
    <w:name w:val="无间隔 Char"/>
    <w:basedOn w:val="a0"/>
    <w:link w:val="a3"/>
    <w:uiPriority w:val="1"/>
    <w:locked/>
  </w:style>
  <w:style w:type="paragraph" w:styleId="a3">
    <w:name w:val="No Spacing"/>
    <w:link w:val="Char"/>
    <w:uiPriority w:val="1"/>
    <w:qFormat/>
  </w:style>
  <w:style w:type="paragraph" w:styleId="a4">
    <w:name w:val="header"/>
    <w:basedOn w:val="a"/>
    <w:link w:val="Char0"/>
    <w:uiPriority w:val="99"/>
    <w:unhideWhenUsed/>
    <w:pPr>
      <w:pBdr>
        <w:bottom w:val="single" w:sz="6" w:space="1" w:color="auto"/>
      </w:pBdr>
      <w:tabs>
        <w:tab w:val="center" w:pos="4153"/>
        <w:tab w:val="right" w:pos="8306"/>
      </w:tabs>
      <w:snapToGrid w:val="0"/>
      <w:spacing w:line="240" w:lineRule="auto"/>
      <w:jc w:val="center"/>
    </w:pPr>
    <w:rPr>
      <w:sz w:val="18"/>
      <w:szCs w:val="18"/>
    </w:rPr>
  </w:style>
  <w:style w:type="character" w:customStyle="1" w:styleId="Char0">
    <w:name w:val="页眉 Char"/>
    <w:basedOn w:val="a0"/>
    <w:link w:val="a4"/>
    <w:uiPriority w:val="99"/>
    <w:rPr>
      <w:kern w:val="0"/>
      <w:sz w:val="18"/>
      <w:szCs w:val="18"/>
      <w:lang w:eastAsia="en-US"/>
    </w:rPr>
  </w:style>
  <w:style w:type="paragraph" w:styleId="a5">
    <w:name w:val="footer"/>
    <w:basedOn w:val="a"/>
    <w:link w:val="Char1"/>
    <w:uiPriority w:val="99"/>
    <w:unhideWhenUsed/>
    <w:pPr>
      <w:tabs>
        <w:tab w:val="center" w:pos="4153"/>
        <w:tab w:val="right" w:pos="8306"/>
      </w:tabs>
      <w:snapToGrid w:val="0"/>
      <w:spacing w:line="240" w:lineRule="auto"/>
    </w:pPr>
    <w:rPr>
      <w:sz w:val="18"/>
      <w:szCs w:val="18"/>
    </w:rPr>
  </w:style>
  <w:style w:type="character" w:customStyle="1" w:styleId="Char1">
    <w:name w:val="页脚 Char"/>
    <w:basedOn w:val="a0"/>
    <w:link w:val="a5"/>
    <w:uiPriority w:val="99"/>
    <w:rPr>
      <w:kern w:val="0"/>
      <w:sz w:val="18"/>
      <w:szCs w:val="18"/>
      <w:lang w:eastAsia="en-US"/>
    </w:rPr>
  </w:style>
  <w:style w:type="paragraph" w:customStyle="1" w:styleId="bodystyle">
    <w:name w:val="body_style"/>
    <w:basedOn w:val="a3"/>
    <w:qFormat/>
    <w:pPr>
      <w:shd w:val="clear" w:color="auto" w:fill="F2F2F2" w:themeFill="background1" w:themeFillShade="F2"/>
      <w:spacing w:before="240" w:after="240" w:line="300" w:lineRule="auto"/>
      <w:ind w:firstLineChars="200" w:firstLine="200"/>
      <w:jc w:val="center"/>
    </w:pPr>
    <w:rPr>
      <w:color w:val="595959" w:themeColor="text1" w:themeTint="A6"/>
      <w:kern w:val="0"/>
      <w:sz w:val="28"/>
      <w:lang w:eastAsia="en-US"/>
    </w:rPr>
  </w:style>
  <w:style w:type="paragraph" w:customStyle="1" w:styleId="mytitle">
    <w:name w:val="mytitle"/>
    <w:basedOn w:val="a"/>
    <w:link w:val="mytitleChar"/>
    <w:qFormat/>
    <w:rsid w:val="000B48AE"/>
    <w:pPr>
      <w:spacing w:after="0" w:line="240" w:lineRule="auto"/>
      <w:jc w:val="center"/>
      <w:outlineLvl w:val="0"/>
    </w:pPr>
    <w:rPr>
      <w:rFonts w:eastAsia="黑体"/>
      <w:color w:val="2E74B5" w:themeColor="accent1" w:themeShade="BF"/>
      <w:sz w:val="36"/>
      <w:lang w:eastAsia="zh-CN"/>
    </w:rPr>
  </w:style>
  <w:style w:type="paragraph" w:customStyle="1" w:styleId="mybody">
    <w:name w:val="mybody"/>
    <w:basedOn w:val="a"/>
    <w:link w:val="mybodyChar"/>
    <w:qFormat/>
    <w:rsid w:val="000B48AE"/>
    <w:pPr>
      <w:spacing w:beforeLines="100" w:before="100" w:afterLines="100" w:after="100" w:line="288" w:lineRule="auto"/>
      <w:ind w:firstLineChars="200" w:firstLine="200"/>
    </w:pPr>
    <w:rPr>
      <w:color w:val="000000" w:themeColor="text1"/>
      <w:sz w:val="28"/>
    </w:rPr>
  </w:style>
  <w:style w:type="character" w:customStyle="1" w:styleId="mytitleChar">
    <w:name w:val="mytitle Char"/>
    <w:basedOn w:val="a0"/>
    <w:link w:val="mytitle"/>
    <w:rsid w:val="000B48AE"/>
    <w:rPr>
      <w:rFonts w:eastAsia="黑体"/>
      <w:color w:val="2E74B5" w:themeColor="accent1" w:themeShade="BF"/>
      <w:kern w:val="0"/>
      <w:sz w:val="36"/>
    </w:rPr>
  </w:style>
  <w:style w:type="character" w:customStyle="1" w:styleId="mybodyChar">
    <w:name w:val="mybody Char"/>
    <w:basedOn w:val="mytitleChar"/>
    <w:link w:val="mybody"/>
    <w:rsid w:val="000B48AE"/>
    <w:rPr>
      <w:rFonts w:eastAsia="黑体"/>
      <w:b/>
      <w:color w:val="000000" w:themeColor="text1"/>
      <w:kern w:val="0"/>
      <w:sz w:val="28"/>
      <w:lang w:eastAsia="en-US"/>
    </w:rPr>
  </w:style>
  <w:style w:type="paragraph" w:customStyle="1" w:styleId="mylist">
    <w:name w:val="mylist"/>
    <w:basedOn w:val="a"/>
    <w:link w:val="mylistChar"/>
    <w:qFormat/>
    <w:rsid w:val="001A0304"/>
    <w:pPr>
      <w:spacing w:beforeLines="50" w:before="50" w:afterLines="50" w:after="50"/>
      <w:ind w:firstLineChars="200" w:firstLine="200"/>
      <w:outlineLvl w:val="1"/>
    </w:pPr>
    <w:rPr>
      <w:b/>
      <w:sz w:val="28"/>
      <w:lang w:eastAsia="zh-CN"/>
    </w:rPr>
  </w:style>
  <w:style w:type="character" w:customStyle="1" w:styleId="mylistChar">
    <w:name w:val="mylist Char"/>
    <w:basedOn w:val="a0"/>
    <w:link w:val="mylist"/>
    <w:rsid w:val="001A0304"/>
    <w:rPr>
      <w:b/>
      <w:kern w:val="0"/>
      <w:sz w:val="28"/>
    </w:rPr>
  </w:style>
  <w:style w:type="paragraph" w:styleId="10">
    <w:name w:val="toc 1"/>
    <w:basedOn w:val="a"/>
    <w:next w:val="a"/>
    <w:autoRedefine/>
    <w:uiPriority w:val="39"/>
    <w:unhideWhenUsed/>
  </w:style>
  <w:style w:type="table" w:styleId="a6">
    <w:name w:val="Table Grid"/>
    <w:basedOn w:val="a1"/>
    <w:uiPriority w:val="3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Char">
    <w:name w:val="标题 1 Char"/>
    <w:basedOn w:val="a0"/>
    <w:link w:val="1"/>
    <w:uiPriority w:val="9"/>
    <w:rPr>
      <w:b/>
      <w:bCs/>
      <w:kern w:val="44"/>
      <w:sz w:val="44"/>
      <w:szCs w:val="44"/>
      <w:lang w:eastAsia="en-US"/>
    </w:rPr>
  </w:style>
  <w:style w:type="paragraph" w:styleId="a7">
    <w:name w:val="Block Text"/>
    <w:basedOn w:val="a"/>
    <w:uiPriority w:val="99"/>
    <w:semiHidden/>
    <w:unhideWhenUsed/>
    <w:pPr>
      <w:spacing w:after="120"/>
      <w:ind w:leftChars="700" w:left="1440" w:rightChars="700" w:right="1440"/>
    </w:pPr>
  </w:style>
  <w:style w:type="paragraph" w:styleId="TOC">
    <w:name w:val="TOC Heading"/>
    <w:basedOn w:val="1"/>
    <w:next w:val="a"/>
    <w:uiPriority w:val="39"/>
    <w:unhideWhenUsed/>
    <w:qFormat/>
    <w:pPr>
      <w:spacing w:before="240" w:after="0" w:line="259" w:lineRule="auto"/>
      <w:outlineLvl w:val="9"/>
    </w:pPr>
    <w:rPr>
      <w:rFonts w:asciiTheme="majorHAnsi" w:eastAsiaTheme="majorEastAsia" w:hAnsiTheme="majorHAnsi" w:cstheme="majorBidi"/>
      <w:b w:val="0"/>
      <w:bCs w:val="0"/>
      <w:color w:val="2E74B5" w:themeColor="accent1" w:themeShade="BF"/>
      <w:kern w:val="0"/>
      <w:sz w:val="32"/>
      <w:szCs w:val="32"/>
      <w:lang w:eastAsia="zh-CN"/>
    </w:rPr>
  </w:style>
  <w:style w:type="character" w:styleId="a8">
    <w:name w:val="Placeholder Text"/>
    <w:basedOn w:val="a0"/>
    <w:uiPriority w:val="99"/>
    <w:semiHidden/>
    <w:rPr>
      <w:color w:val="808080"/>
    </w:rPr>
  </w:style>
  <w:style w:type="paragraph" w:customStyle="1" w:styleId="mytitle2">
    <w:name w:val="mytitle2"/>
    <w:basedOn w:val="a"/>
    <w:link w:val="mytitle2Char"/>
    <w:qFormat/>
    <w:rsid w:val="00851339"/>
    <w:pPr>
      <w:spacing w:after="0" w:line="240" w:lineRule="auto"/>
    </w:pPr>
    <w:rPr>
      <w:rFonts w:eastAsia="黑体"/>
      <w:b/>
      <w:color w:val="2E74B5" w:themeColor="accent1" w:themeShade="BF"/>
      <w:sz w:val="44"/>
    </w:rPr>
  </w:style>
  <w:style w:type="character" w:customStyle="1" w:styleId="mytitle2Char">
    <w:name w:val="mytitle2 Char"/>
    <w:basedOn w:val="a0"/>
    <w:link w:val="mytitle2"/>
    <w:rsid w:val="00851339"/>
    <w:rPr>
      <w:rFonts w:eastAsia="黑体"/>
      <w:b/>
      <w:color w:val="2E74B5" w:themeColor="accent1" w:themeShade="BF"/>
      <w:kern w:val="0"/>
      <w:sz w:val="44"/>
      <w:lang w:eastAsia="en-US"/>
    </w:rPr>
  </w:style>
  <w:style w:type="paragraph" w:customStyle="1" w:styleId="a9">
    <w:name w:val="选项"/>
    <w:basedOn w:val="a"/>
    <w:link w:val="Char2"/>
    <w:qFormat/>
    <w:rsid w:val="004757B6"/>
    <w:rPr>
      <w:lang w:eastAsia="zh-CN"/>
    </w:rPr>
  </w:style>
  <w:style w:type="paragraph" w:customStyle="1" w:styleId="mytitle3">
    <w:name w:val="mytitle3"/>
    <w:basedOn w:val="mybody"/>
    <w:link w:val="mytitle3Char"/>
    <w:qFormat/>
    <w:rsid w:val="00087124"/>
    <w:pPr>
      <w:ind w:firstLineChars="0" w:firstLine="0"/>
      <w:jc w:val="center"/>
      <w:outlineLvl w:val="0"/>
    </w:pPr>
    <w:rPr>
      <w:lang w:eastAsia="zh-CN"/>
    </w:rPr>
  </w:style>
  <w:style w:type="character" w:customStyle="1" w:styleId="Char2">
    <w:name w:val="选项 Char"/>
    <w:basedOn w:val="a0"/>
    <w:link w:val="a9"/>
    <w:rsid w:val="004757B6"/>
    <w:rPr>
      <w:kern w:val="0"/>
      <w:sz w:val="22"/>
    </w:rPr>
  </w:style>
  <w:style w:type="character" w:customStyle="1" w:styleId="mytitle3Char">
    <w:name w:val="mytitle3 Char"/>
    <w:basedOn w:val="mybodyChar"/>
    <w:link w:val="mytitle3"/>
    <w:rsid w:val="00087124"/>
    <w:rPr>
      <w:rFonts w:eastAsia="黑体"/>
      <w:b w:val="0"/>
      <w:color w:val="000000" w:themeColor="text1"/>
      <w:kern w:val="0"/>
      <w:sz w:val="28"/>
      <w:lang w:eastAsia="en-US"/>
    </w:rPr>
  </w:style>
  <w:style w:type="paragraph" w:customStyle="1" w:styleId="answer">
    <w:name w:val="answer"/>
    <w:basedOn w:val="mybody"/>
    <w:link w:val="answerChar"/>
    <w:qFormat/>
    <w:rsid w:val="00C65C54"/>
    <w:pPr>
      <w:ind w:firstLineChars="0" w:firstLine="0"/>
      <w:outlineLvl w:val="0"/>
    </w:pPr>
    <w:rPr>
      <w:color w:val="FF0000"/>
      <w:lang w:eastAsia="zh-CN"/>
    </w:rPr>
  </w:style>
  <w:style w:type="character" w:customStyle="1" w:styleId="answerChar">
    <w:name w:val="answer Char"/>
    <w:basedOn w:val="mybodyChar"/>
    <w:link w:val="answer"/>
    <w:rsid w:val="00C65C54"/>
    <w:rPr>
      <w:rFonts w:eastAsia="黑体"/>
      <w:b w:val="0"/>
      <w:color w:val="FF0000"/>
      <w:kern w:val="0"/>
      <w:sz w:val="24"/>
      <w:lang w:eastAsia="en-US"/>
    </w:rPr>
  </w:style>
  <w:style w:type="paragraph" w:customStyle="1" w:styleId="myoption">
    <w:name w:val="myoption"/>
    <w:basedOn w:val="a"/>
    <w:next w:val="a"/>
    <w:link w:val="myoptionChar"/>
    <w:qFormat/>
    <w:rsid w:val="00CB7CDF"/>
    <w:pPr>
      <w:spacing w:before="120" w:after="120" w:line="360" w:lineRule="auto"/>
      <w:ind w:left="1007" w:hanging="440"/>
    </w:pPr>
    <w:rPr>
      <w:sz w:val="24"/>
    </w:rPr>
  </w:style>
  <w:style w:type="character" w:customStyle="1" w:styleId="myoptionChar">
    <w:name w:val="myoption Char"/>
    <w:basedOn w:val="a0"/>
    <w:link w:val="myoption"/>
    <w:rsid w:val="00CB7CDF"/>
    <w:rPr>
      <w:kern w:val="0"/>
      <w:sz w:val="24"/>
      <w:lang w:eastAsia="en-US"/>
    </w:rPr>
  </w:style>
  <w:style w:type="paragraph" w:styleId="aa">
    <w:name w:val="List Paragraph"/>
    <w:basedOn w:val="a"/>
    <w:uiPriority w:val="34"/>
    <w:qFormat/>
    <w:rsid w:val="0076151C"/>
    <w:pPr>
      <w:ind w:firstLineChars="200" w:firstLine="420"/>
    </w:pPr>
  </w:style>
  <w:style w:type="paragraph" w:customStyle="1" w:styleId="mytab">
    <w:name w:val="mytab"/>
    <w:basedOn w:val="a"/>
    <w:link w:val="mytabChar"/>
    <w:qFormat/>
    <w:rsid w:val="00C64CAD"/>
    <w:pPr>
      <w:keepNext/>
      <w:spacing w:before="100" w:beforeAutospacing="1" w:after="100" w:afterAutospacing="1" w:line="288" w:lineRule="auto"/>
      <w:jc w:val="both"/>
    </w:pPr>
    <w:rPr>
      <w:lang w:eastAsia="zh-CN"/>
    </w:rPr>
  </w:style>
  <w:style w:type="character" w:customStyle="1" w:styleId="mytabChar">
    <w:name w:val="mytab Char"/>
    <w:basedOn w:val="a0"/>
    <w:link w:val="mytab"/>
    <w:rsid w:val="00C64CAD"/>
    <w:rPr>
      <w:kern w:val="0"/>
      <w:sz w:val="22"/>
    </w:rPr>
  </w:style>
  <w:style w:type="table" w:styleId="1-5">
    <w:name w:val="Grid Table 1 Light Accent 5"/>
    <w:basedOn w:val="a1"/>
    <w:uiPriority w:val="46"/>
    <w:rsid w:val="003730F4"/>
    <w:tblPr>
      <w:tblStyleRowBandSize w:val="1"/>
      <w:tblStyleColBandSize w:val="1"/>
      <w:tblInd w:w="0" w:type="dxa"/>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CellMar>
        <w:top w:w="0" w:type="dxa"/>
        <w:left w:w="108" w:type="dxa"/>
        <w:bottom w:w="0" w:type="dxa"/>
        <w:right w:w="108" w:type="dxa"/>
      </w:tblCellMar>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1-6">
    <w:name w:val="Grid Table 1 Light Accent 6"/>
    <w:basedOn w:val="a1"/>
    <w:uiPriority w:val="46"/>
    <w:rsid w:val="003730F4"/>
    <w:tblPr>
      <w:tblStyleRowBandSize w:val="1"/>
      <w:tblStyleColBandSize w:val="1"/>
      <w:tblInd w:w="0" w:type="dxa"/>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CellMar>
        <w:top w:w="0" w:type="dxa"/>
        <w:left w:w="108" w:type="dxa"/>
        <w:bottom w:w="0" w:type="dxa"/>
        <w:right w:w="108" w:type="dxa"/>
      </w:tblCellMar>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6">
    <w:name w:val="Light Shading Accent 6"/>
    <w:basedOn w:val="a1"/>
    <w:uiPriority w:val="60"/>
    <w:semiHidden/>
    <w:unhideWhenUsed/>
    <w:rsid w:val="003730F4"/>
    <w:rPr>
      <w:color w:val="538135" w:themeColor="accent6" w:themeShade="BF"/>
    </w:rPr>
    <w:tblPr>
      <w:tblStyleRowBandSize w:val="1"/>
      <w:tblStyleColBandSize w:val="1"/>
      <w:tblInd w:w="0" w:type="dxa"/>
      <w:tblBorders>
        <w:top w:val="single" w:sz="8" w:space="0" w:color="70AD47" w:themeColor="accent6"/>
        <w:bottom w:val="single" w:sz="8" w:space="0" w:color="70AD47"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table" w:styleId="3-5">
    <w:name w:val="List Table 3 Accent 5"/>
    <w:basedOn w:val="a1"/>
    <w:uiPriority w:val="48"/>
    <w:rsid w:val="003730F4"/>
    <w:tblPr>
      <w:tblStyleRowBandSize w:val="1"/>
      <w:tblStyleColBandSize w:val="1"/>
      <w:tblInd w:w="0" w:type="dxa"/>
      <w:tblBorders>
        <w:top w:val="single" w:sz="4" w:space="0" w:color="4472C4" w:themeColor="accent5"/>
        <w:left w:val="single" w:sz="4" w:space="0" w:color="4472C4" w:themeColor="accent5"/>
        <w:bottom w:val="single" w:sz="4" w:space="0" w:color="4472C4" w:themeColor="accent5"/>
        <w:right w:val="single" w:sz="4" w:space="0" w:color="4472C4" w:themeColor="accent5"/>
      </w:tblBorders>
      <w:tblCellMar>
        <w:top w:w="0" w:type="dxa"/>
        <w:left w:w="108" w:type="dxa"/>
        <w:bottom w:w="0" w:type="dxa"/>
        <w:right w:w="108" w:type="dxa"/>
      </w:tblCellMar>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1-4">
    <w:name w:val="Grid Table 1 Light Accent 4"/>
    <w:basedOn w:val="a1"/>
    <w:uiPriority w:val="46"/>
    <w:rsid w:val="003730F4"/>
    <w:tblPr>
      <w:tblStyleRowBandSize w:val="1"/>
      <w:tblStyleColBandSize w:val="1"/>
      <w:tblInd w:w="0" w:type="dxa"/>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CellMar>
        <w:top w:w="0" w:type="dxa"/>
        <w:left w:w="108" w:type="dxa"/>
        <w:bottom w:w="0" w:type="dxa"/>
        <w:right w:w="108" w:type="dxa"/>
      </w:tblCellMar>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1-3">
    <w:name w:val="Grid Table 1 Light Accent 3"/>
    <w:basedOn w:val="a1"/>
    <w:uiPriority w:val="46"/>
    <w:rsid w:val="003730F4"/>
    <w:tblPr>
      <w:tblStyleRowBandSize w:val="1"/>
      <w:tblStyleColBandSize w:val="1"/>
      <w:tblInd w:w="0" w:type="dxa"/>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1-2">
    <w:name w:val="Grid Table 1 Light Accent 2"/>
    <w:basedOn w:val="a1"/>
    <w:uiPriority w:val="46"/>
    <w:rsid w:val="003730F4"/>
    <w:tblPr>
      <w:tblStyleRowBandSize w:val="1"/>
      <w:tblStyleColBandSize w:val="1"/>
      <w:tblInd w:w="0" w:type="dxa"/>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CellMar>
        <w:top w:w="0" w:type="dxa"/>
        <w:left w:w="108" w:type="dxa"/>
        <w:bottom w:w="0" w:type="dxa"/>
        <w:right w:w="108" w:type="dxa"/>
      </w:tblCellMar>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1-1">
    <w:name w:val="Grid Table 1 Light Accent 1"/>
    <w:basedOn w:val="a1"/>
    <w:uiPriority w:val="46"/>
    <w:rsid w:val="003730F4"/>
    <w:tblPr>
      <w:tblStyleRowBandSize w:val="1"/>
      <w:tblStyleColBandSize w:val="1"/>
      <w:tblInd w:w="0" w:type="dxa"/>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CellMar>
        <w:top w:w="0" w:type="dxa"/>
        <w:left w:w="108" w:type="dxa"/>
        <w:bottom w:w="0" w:type="dxa"/>
        <w:right w:w="108" w:type="dxa"/>
      </w:tblCellMar>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4-1">
    <w:name w:val="Grid Table 4 Accent 1"/>
    <w:basedOn w:val="a1"/>
    <w:uiPriority w:val="49"/>
    <w:rsid w:val="003730F4"/>
    <w:tblPr>
      <w:tblStyleRowBandSize w:val="1"/>
      <w:tblStyleColBandSize w:val="1"/>
      <w:tblInd w:w="0" w:type="dxa"/>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4-3">
    <w:name w:val="Grid Table 4 Accent 3"/>
    <w:basedOn w:val="a1"/>
    <w:uiPriority w:val="49"/>
    <w:rsid w:val="003730F4"/>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2-5">
    <w:name w:val="List Table 2 Accent 5"/>
    <w:basedOn w:val="a1"/>
    <w:uiPriority w:val="47"/>
    <w:rsid w:val="003730F4"/>
    <w:tblPr>
      <w:tblStyleRowBandSize w:val="1"/>
      <w:tblStyleColBandSize w:val="1"/>
      <w:tblInd w:w="0" w:type="dxa"/>
      <w:tblBorders>
        <w:top w:val="single" w:sz="4" w:space="0" w:color="8EAADB" w:themeColor="accent5" w:themeTint="99"/>
        <w:bottom w:val="single" w:sz="4" w:space="0" w:color="8EAADB" w:themeColor="accent5" w:themeTint="99"/>
        <w:insideH w:val="single" w:sz="4" w:space="0" w:color="8EAADB" w:themeColor="accent5" w:themeTint="99"/>
      </w:tblBorders>
      <w:tblCellMar>
        <w:top w:w="0" w:type="dxa"/>
        <w:left w:w="108" w:type="dxa"/>
        <w:bottom w:w="0" w:type="dxa"/>
        <w:right w:w="108" w:type="dxa"/>
      </w:tblCellMar>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6-3">
    <w:name w:val="List Table 6 Colorful Accent 3"/>
    <w:basedOn w:val="a1"/>
    <w:uiPriority w:val="51"/>
    <w:rsid w:val="003730F4"/>
    <w:rPr>
      <w:color w:val="7B7B7B" w:themeColor="accent3" w:themeShade="BF"/>
    </w:rPr>
    <w:tblPr>
      <w:tblStyleRowBandSize w:val="1"/>
      <w:tblStyleColBandSize w:val="1"/>
      <w:tblInd w:w="0" w:type="dxa"/>
      <w:tblBorders>
        <w:top w:val="single" w:sz="4" w:space="0" w:color="A5A5A5" w:themeColor="accent3"/>
        <w:bottom w:val="single" w:sz="4" w:space="0" w:color="A5A5A5" w:themeColor="accent3"/>
      </w:tblBorders>
      <w:tblCellMar>
        <w:top w:w="0" w:type="dxa"/>
        <w:left w:w="108" w:type="dxa"/>
        <w:bottom w:w="0" w:type="dxa"/>
        <w:right w:w="108" w:type="dxa"/>
      </w:tblCellMar>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11">
    <w:name w:val="Plain Table 1"/>
    <w:basedOn w:val="a1"/>
    <w:uiPriority w:val="41"/>
    <w:rsid w:val="003730F4"/>
    <w:tblPr>
      <w:tblStyleRowBandSize w:val="1"/>
      <w:tblStyleColBandSize w:val="1"/>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6-30">
    <w:name w:val="Grid Table 6 Colorful Accent 3"/>
    <w:basedOn w:val="a1"/>
    <w:uiPriority w:val="51"/>
    <w:rsid w:val="003730F4"/>
    <w:rPr>
      <w:color w:val="7B7B7B" w:themeColor="accent3" w:themeShade="BF"/>
    </w:rPr>
    <w:tblPr>
      <w:tblStyleRowBandSize w:val="1"/>
      <w:tblStyleColBandSize w:val="1"/>
      <w:tblInd w:w="0" w:type="dxa"/>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CellMar>
        <w:top w:w="0" w:type="dxa"/>
        <w:left w:w="108" w:type="dxa"/>
        <w:bottom w:w="0" w:type="dxa"/>
        <w:right w:w="108" w:type="dxa"/>
      </w:tblCellMar>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ab">
    <w:name w:val="Grid Table Light"/>
    <w:basedOn w:val="a1"/>
    <w:uiPriority w:val="40"/>
    <w:rsid w:val="003730F4"/>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mytab1">
    <w:name w:val="mytab1"/>
    <w:basedOn w:val="a6"/>
    <w:uiPriority w:val="99"/>
    <w:rsid w:val="00712B76"/>
    <w:pPr>
      <w:spacing w:line="360" w:lineRule="auto"/>
      <w:jc w:val="center"/>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cPr>
      <w:shd w:val="pct5" w:color="auto" w:fill="auto"/>
      <w:vAlign w:val="center"/>
    </w:tcPr>
  </w:style>
  <w:style w:type="table" w:customStyle="1" w:styleId="mytab2">
    <w:name w:val="mytab2"/>
    <w:basedOn w:val="a1"/>
    <w:uiPriority w:val="99"/>
    <w:rsid w:val="00E305EF"/>
    <w:pPr>
      <w:jc w:val="center"/>
    </w:pPr>
    <w:tblPr>
      <w:tblInd w:w="0" w:type="dxa"/>
      <w:tblCellMar>
        <w:top w:w="0" w:type="dxa"/>
        <w:left w:w="108" w:type="dxa"/>
        <w:bottom w:w="0" w:type="dxa"/>
        <w:right w:w="108" w:type="dxa"/>
      </w:tblCellMar>
    </w:tblPr>
    <w:tcPr>
      <w:vAlign w:val="center"/>
    </w:tcPr>
  </w:style>
  <w:style w:type="character" w:styleId="ac">
    <w:name w:val="Hyperlink"/>
    <w:basedOn w:val="a0"/>
    <w:uiPriority w:val="99"/>
    <w:unhideWhenUsed/>
    <w:rsid w:val="006E2E27"/>
    <w:rPr>
      <w:color w:val="0563C1" w:themeColor="hyperlink"/>
      <w:u w:val="single"/>
    </w:rPr>
  </w:style>
  <w:style w:type="paragraph" w:customStyle="1" w:styleId="pic">
    <w:name w:val="pic"/>
    <w:basedOn w:val="mybody"/>
    <w:link w:val="picChar"/>
    <w:qFormat/>
    <w:rsid w:val="00A5688B"/>
    <w:pPr>
      <w:spacing w:before="240" w:after="240"/>
      <w:ind w:firstLine="560"/>
      <w:jc w:val="center"/>
    </w:pPr>
  </w:style>
  <w:style w:type="character" w:customStyle="1" w:styleId="picChar">
    <w:name w:val="pic Char"/>
    <w:basedOn w:val="a0"/>
    <w:link w:val="pic"/>
    <w:rsid w:val="00A5688B"/>
    <w:rPr>
      <w:color w:val="000000" w:themeColor="text1"/>
      <w:kern w:val="0"/>
      <w:sz w:val="28"/>
      <w:lang w:eastAsia="en-US"/>
    </w:rPr>
  </w:style>
  <w:style w:type="paragraph" w:styleId="ad">
    <w:name w:val="Normal (Web)"/>
    <w:basedOn w:val="a"/>
    <w:uiPriority w:val="99"/>
    <w:semiHidden/>
    <w:unhideWhenUsed/>
    <w:rsid w:val="000F507E"/>
    <w:pPr>
      <w:spacing w:before="100" w:beforeAutospacing="1" w:after="100" w:afterAutospacing="1" w:line="240" w:lineRule="auto"/>
    </w:pPr>
    <w:rPr>
      <w:rFonts w:ascii="宋体" w:eastAsia="宋体" w:hAnsi="宋体" w:cs="宋体"/>
      <w:sz w:val="24"/>
      <w:szCs w:val="24"/>
      <w:lang w:eastAsia="zh-CN"/>
    </w:rPr>
  </w:style>
  <w:style w:type="paragraph" w:customStyle="1" w:styleId="default">
    <w:name w:val="default"/>
    <w:basedOn w:val="a"/>
    <w:rsid w:val="000F507E"/>
    <w:pPr>
      <w:spacing w:before="100" w:beforeAutospacing="1" w:after="100" w:afterAutospacing="1" w:line="240" w:lineRule="auto"/>
    </w:pPr>
    <w:rPr>
      <w:rFonts w:ascii="宋体" w:eastAsia="宋体" w:hAnsi="宋体" w:cs="宋体"/>
      <w:sz w:val="24"/>
      <w:szCs w:val="24"/>
      <w:lang w:eastAsia="zh-CN"/>
    </w:rPr>
  </w:style>
  <w:style w:type="character" w:styleId="ae">
    <w:name w:val="Strong"/>
    <w:basedOn w:val="a0"/>
    <w:uiPriority w:val="22"/>
    <w:qFormat/>
    <w:rsid w:val="000F507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8859138">
      <w:bodyDiv w:val="1"/>
      <w:marLeft w:val="0"/>
      <w:marRight w:val="0"/>
      <w:marTop w:val="0"/>
      <w:marBottom w:val="0"/>
      <w:divBdr>
        <w:top w:val="none" w:sz="0" w:space="0" w:color="auto"/>
        <w:left w:val="none" w:sz="0" w:space="0" w:color="auto"/>
        <w:bottom w:val="none" w:sz="0" w:space="0" w:color="auto"/>
        <w:right w:val="none" w:sz="0" w:space="0" w:color="auto"/>
      </w:divBdr>
    </w:div>
    <w:div w:id="1283220588">
      <w:bodyDiv w:val="1"/>
      <w:marLeft w:val="0"/>
      <w:marRight w:val="0"/>
      <w:marTop w:val="0"/>
      <w:marBottom w:val="0"/>
      <w:divBdr>
        <w:top w:val="none" w:sz="0" w:space="0" w:color="auto"/>
        <w:left w:val="none" w:sz="0" w:space="0" w:color="auto"/>
        <w:bottom w:val="none" w:sz="0" w:space="0" w:color="auto"/>
        <w:right w:val="none" w:sz="0" w:space="0" w:color="auto"/>
      </w:divBdr>
    </w:div>
    <w:div w:id="1466698100">
      <w:bodyDiv w:val="1"/>
      <w:marLeft w:val="0"/>
      <w:marRight w:val="0"/>
      <w:marTop w:val="0"/>
      <w:marBottom w:val="0"/>
      <w:divBdr>
        <w:top w:val="none" w:sz="0" w:space="0" w:color="auto"/>
        <w:left w:val="none" w:sz="0" w:space="0" w:color="auto"/>
        <w:bottom w:val="none" w:sz="0" w:space="0" w:color="auto"/>
        <w:right w:val="none" w:sz="0" w:space="0" w:color="auto"/>
      </w:divBdr>
    </w:div>
    <w:div w:id="1564289311">
      <w:bodyDiv w:val="1"/>
      <w:marLeft w:val="0"/>
      <w:marRight w:val="0"/>
      <w:marTop w:val="0"/>
      <w:marBottom w:val="0"/>
      <w:divBdr>
        <w:top w:val="none" w:sz="0" w:space="0" w:color="auto"/>
        <w:left w:val="none" w:sz="0" w:space="0" w:color="auto"/>
        <w:bottom w:val="none" w:sz="0" w:space="0" w:color="auto"/>
        <w:right w:val="none" w:sz="0" w:space="0" w:color="auto"/>
      </w:divBdr>
    </w:div>
    <w:div w:id="1644038440">
      <w:bodyDiv w:val="1"/>
      <w:marLeft w:val="0"/>
      <w:marRight w:val="0"/>
      <w:marTop w:val="0"/>
      <w:marBottom w:val="0"/>
      <w:divBdr>
        <w:top w:val="none" w:sz="0" w:space="0" w:color="auto"/>
        <w:left w:val="none" w:sz="0" w:space="0" w:color="auto"/>
        <w:bottom w:val="none" w:sz="0" w:space="0" w:color="auto"/>
        <w:right w:val="none" w:sz="0" w:space="0" w:color="auto"/>
      </w:divBdr>
      <w:divsChild>
        <w:div w:id="1812820748">
          <w:marLeft w:val="0"/>
          <w:marRight w:val="0"/>
          <w:marTop w:val="0"/>
          <w:marBottom w:val="0"/>
          <w:divBdr>
            <w:top w:val="none" w:sz="0" w:space="0" w:color="auto"/>
            <w:left w:val="none" w:sz="0" w:space="0" w:color="auto"/>
            <w:bottom w:val="none" w:sz="0" w:space="0" w:color="auto"/>
            <w:right w:val="none" w:sz="0" w:space="0" w:color="auto"/>
          </w:divBdr>
        </w:div>
        <w:div w:id="1260213018">
          <w:marLeft w:val="0"/>
          <w:marRight w:val="0"/>
          <w:marTop w:val="0"/>
          <w:marBottom w:val="0"/>
          <w:divBdr>
            <w:top w:val="none" w:sz="0" w:space="0" w:color="auto"/>
            <w:left w:val="none" w:sz="0" w:space="0" w:color="auto"/>
            <w:bottom w:val="none" w:sz="0" w:space="0" w:color="auto"/>
            <w:right w:val="none" w:sz="0" w:space="0" w:color="auto"/>
          </w:divBdr>
        </w:div>
        <w:div w:id="476579242">
          <w:marLeft w:val="0"/>
          <w:marRight w:val="0"/>
          <w:marTop w:val="0"/>
          <w:marBottom w:val="0"/>
          <w:divBdr>
            <w:top w:val="none" w:sz="0" w:space="0" w:color="auto"/>
            <w:left w:val="none" w:sz="0" w:space="0" w:color="auto"/>
            <w:bottom w:val="none" w:sz="0" w:space="0" w:color="auto"/>
            <w:right w:val="none" w:sz="0" w:space="0" w:color="auto"/>
          </w:divBdr>
        </w:div>
        <w:div w:id="476073155">
          <w:marLeft w:val="0"/>
          <w:marRight w:val="0"/>
          <w:marTop w:val="0"/>
          <w:marBottom w:val="0"/>
          <w:divBdr>
            <w:top w:val="none" w:sz="0" w:space="0" w:color="auto"/>
            <w:left w:val="none" w:sz="0" w:space="0" w:color="auto"/>
            <w:bottom w:val="none" w:sz="0" w:space="0" w:color="auto"/>
            <w:right w:val="none" w:sz="0" w:space="0" w:color="auto"/>
          </w:divBdr>
        </w:div>
      </w:divsChild>
    </w:div>
    <w:div w:id="1855221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rgbClr val="F2F2F2"/>
        </a:solidFill>
        <a:ln w="6350"/>
      </a:spPr>
      <a:bodyPr rtlCol="0" anchor="ct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6C3C87-C275-4965-AB22-9FC00AE37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0</Lines>
  <Paragraphs>0</Paragraphs>
  <ScaleCrop>false</ScaleCrop>
  <Company>Trisun</Company>
  <LinksUpToDate>false</LinksUpToDate>
  <CharactersWithSpaces>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wudechun</dc:creator>
  <cp:keywords/>
  <dc:description/>
  <cp:lastModifiedBy>wudechun</cp:lastModifiedBy>
  <cp:revision>4</cp:revision>
  <dcterms:created xsi:type="dcterms:W3CDTF">2019-09-12T12:07:00Z</dcterms:created>
  <dcterms:modified xsi:type="dcterms:W3CDTF">2019-09-18T03:01:00Z</dcterms:modified>
</cp:coreProperties>
</file>